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79953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246, Wednesday, December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79953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Publication and Review Under the Economic Growth and Regulatory Paperwork Reduction Act of 1996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regulatory review;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NCUA Board (Board) is continuing its comprehensive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burdensome regulatory requirements imposed on federally insured credit unions, as contemplated by section 2222 of the Economic Growth and Regulatory Paperwork Reduction Act of 1996 (EGRPRA). This second decennial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began when the Board issued its first EGRPRA notice on May 22, 2014, covering the two categories of "Applications and Reporting" and "Powers and Activities." n1 The second notice followed, covering the three categories of "Agency Programs," "Capital," and "Consumer Protection," which was published on December 19, 2014. n2 The third notice was published on June 24, 2015, and covered the next three categories of rules: "Corporate Credit Unions," "Directors, Officers and Employees," and "Money Laundering." n3 This fourth and final notice covers the remaining two categories: "Rules of Procedure" and "Safety and Soundness." This review process presents a significant opportunity to consider the possibilities for burden reduction in groups of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welcomes comment on the categories, the order of review, and all other aspects of this initiative in order to maximize the review's effectiveness.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79 FR 32121</w:t>
        </w:r>
      </w:hyperlink>
      <w:r>
        <w:rPr>
          <w:rFonts w:ascii="arial" w:eastAsia="arial" w:hAnsi="arial" w:cs="arial"/>
          <w:b w:val="0"/>
          <w:i w:val="0"/>
          <w:strike w:val="0"/>
          <w:noProof w:val="0"/>
          <w:color w:val="000000"/>
          <w:position w:val="0"/>
          <w:sz w:val="20"/>
          <w:u w:val="none"/>
          <w:vertAlign w:val="baseline"/>
        </w:rPr>
        <w:t xml:space="preserve"> (June 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79 FR 79763</w:t>
        </w:r>
      </w:hyperlink>
      <w:r>
        <w:rPr>
          <w:rFonts w:ascii="arial" w:eastAsia="arial" w:hAnsi="arial" w:cs="arial"/>
          <w:b w:val="0"/>
          <w:i w:val="0"/>
          <w:strike w:val="0"/>
          <w:noProof w:val="0"/>
          <w:color w:val="000000"/>
          <w:position w:val="0"/>
          <w:sz w:val="20"/>
          <w:u w:val="none"/>
          <w:vertAlign w:val="baseline"/>
        </w:rPr>
        <w:t xml:space="preserve"> (December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80 FR 36252</w:t>
        </w:r>
      </w:hyperlink>
      <w:r>
        <w:rPr>
          <w:rFonts w:ascii="arial" w:eastAsia="arial" w:hAnsi="arial" w:cs="arial"/>
          <w:b w:val="0"/>
          <w:i w:val="0"/>
          <w:strike w:val="0"/>
          <w:noProof w:val="0"/>
          <w:color w:val="000000"/>
          <w:position w:val="0"/>
          <w:sz w:val="20"/>
          <w:u w:val="none"/>
          <w:vertAlign w:val="baseline"/>
        </w:rPr>
        <w:t xml:space="preserve"> (June 24,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EGRPRA n4 as part of an effort to minimize unnecessary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institutions consistent with safety and soundness, consumer protection, and other public policy goals. Under EGRPRA, the appropriate federal banking agencies (Office of the Comptroller of the Currency, Board of Governors of the Federal Reserve System, and Federal Deposit Insurance Corporation; herein Agencies n5) and the Federal Financial Institutions Examination Council (FFIEC) must review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outdated, unnecessary, or unduly burdensome requirements imposed on insured depository institutions. The Agencies are required, jointly or individually, to categorize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such as "consumer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"safety and soundness"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Once the categories have been established, the Agencies must provide notice and ask for public comment on one or more of these regulatory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Pub. L. 104-208</w:t>
      </w:r>
      <w:r>
        <w:rPr>
          <w:rFonts w:ascii="arial" w:eastAsia="arial" w:hAnsi="arial" w:cs="arial"/>
          <w:b w:val="0"/>
          <w:i w:val="0"/>
          <w:strike w:val="0"/>
          <w:noProof w:val="0"/>
          <w:color w:val="000000"/>
          <w:position w:val="0"/>
          <w:sz w:val="20"/>
          <w:u w:val="none"/>
          <w:vertAlign w:val="baseline"/>
        </w:rPr>
        <w:t xml:space="preserve">, Div. A, Title II, § 2222,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 (1996); codified at </w:t>
      </w:r>
      <w:hyperlink r:id="rId11" w:history="1">
        <w:r>
          <w:rPr>
            <w:rFonts w:ascii="arial" w:eastAsia="arial" w:hAnsi="arial" w:cs="arial"/>
            <w:b w:val="0"/>
            <w:i/>
            <w:strike w:val="0"/>
            <w:noProof w:val="0"/>
            <w:color w:val="0077CC"/>
            <w:position w:val="0"/>
            <w:sz w:val="20"/>
            <w:u w:val="single"/>
            <w:vertAlign w:val="baseline"/>
          </w:rPr>
          <w:t>12 U.S.C. 3311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Office of Thrift Supervision was still in existence at the time EGRPRA was enacted and was included in the listing of Agencies. Since that time, the OTS has been eliminated and its responsibilities have passed to the Agencies and the 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is not technically required to participate in the EGRPRA review process, since NCUA is not an "appropriate Federal banking agency" as specified in EGRPRA. In keeping with the spirit of the law, however, the Board has once again elected to participate in the review process. Thus, NCUA has participated along with the Agencies in the planning process, but has developed its own regulatory categories that are comparable with </w:t>
      </w:r>
      <w:r>
        <w:rPr>
          <w:rFonts w:ascii="arial" w:eastAsia="arial" w:hAnsi="arial" w:cs="arial"/>
          <w:b/>
          <w:i w:val="0"/>
          <w:strike w:val="0"/>
          <w:noProof w:val="0"/>
          <w:color w:val="000000"/>
          <w:position w:val="0"/>
          <w:sz w:val="20"/>
          <w:u w:val="none"/>
          <w:vertAlign w:val="baseline"/>
        </w:rPr>
        <w:t> [*79954] </w:t>
      </w:r>
      <w:r>
        <w:rPr>
          <w:rFonts w:ascii="arial" w:eastAsia="arial" w:hAnsi="arial" w:cs="arial"/>
          <w:b w:val="0"/>
          <w:i w:val="0"/>
          <w:strike w:val="0"/>
          <w:noProof w:val="0"/>
          <w:color w:val="000000"/>
          <w:position w:val="0"/>
          <w:sz w:val="20"/>
          <w:u w:val="none"/>
          <w:vertAlign w:val="baseline"/>
        </w:rPr>
        <w:t xml:space="preserve"> those developed by the Agencies. Because of the unique circumstances of federally insured credit unions and their members, the Board is issuing a separate notice from the Agencies. NCUA's notice is consistent and comparable with the Agencies' notice, except on issues that are unique to credit unions. The Agencies' fourth notice, like this one, includes rules of procedure and safety and soundness. In addition, their fourth notice includes the category of securities, as to which there is no credit union counterpart.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objectives of EGRPRA, the Board asks the public to identify areas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outdated, unnecessary, or unduly burdensome. The EGRPRA review supplements and complements the reviews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NCUA conducts under other laws and its internal policies.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Interpretive Ruling and Policy Statement (IRPS) 87-2, </w:t>
      </w:r>
      <w:hyperlink r:id="rId12" w:history="1">
        <w:r>
          <w:rPr>
            <w:rFonts w:ascii="arial" w:eastAsia="arial" w:hAnsi="arial" w:cs="arial"/>
            <w:b w:val="0"/>
            <w:i/>
            <w:strike w:val="0"/>
            <w:noProof w:val="0"/>
            <w:color w:val="0077CC"/>
            <w:position w:val="0"/>
            <w:sz w:val="20"/>
            <w:u w:val="single"/>
            <w:vertAlign w:val="baseline"/>
          </w:rPr>
          <w:t>52 FR 35231</w:t>
        </w:r>
      </w:hyperlink>
      <w:r>
        <w:rPr>
          <w:rFonts w:ascii="arial" w:eastAsia="arial" w:hAnsi="arial" w:cs="arial"/>
          <w:b w:val="0"/>
          <w:i w:val="0"/>
          <w:strike w:val="0"/>
          <w:noProof w:val="0"/>
          <w:color w:val="000000"/>
          <w:position w:val="0"/>
          <w:sz w:val="20"/>
          <w:u w:val="none"/>
          <w:vertAlign w:val="baseline"/>
        </w:rPr>
        <w:t xml:space="preserve"> (Sept. 8, 1987) as amended by IRPS 03-2, </w:t>
      </w:r>
      <w:r>
        <w:rPr>
          <w:rFonts w:ascii="arial" w:eastAsia="arial" w:hAnsi="arial" w:cs="arial"/>
          <w:b w:val="0"/>
          <w:i/>
          <w:strike w:val="0"/>
          <w:noProof w:val="0"/>
          <w:color w:val="000000"/>
          <w:position w:val="0"/>
          <w:sz w:val="20"/>
          <w:u w:val="none"/>
          <w:vertAlign w:val="baseline"/>
        </w:rPr>
        <w:t>68 FR 32127</w:t>
      </w:r>
      <w:r>
        <w:rPr>
          <w:rFonts w:ascii="arial" w:eastAsia="arial" w:hAnsi="arial" w:cs="arial"/>
          <w:b w:val="0"/>
          <w:i w:val="0"/>
          <w:strike w:val="0"/>
          <w:noProof w:val="0"/>
          <w:color w:val="000000"/>
          <w:position w:val="0"/>
          <w:sz w:val="20"/>
          <w:u w:val="none"/>
          <w:vertAlign w:val="baseline"/>
        </w:rPr>
        <w:t xml:space="preserve"> (May 29, 2003.)(Reflecting NCUA's commitment to "periodically update, clarify and simplify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eliminate redundant and unnecessary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noted in its initial EGRPRA notice, the creation of the Consumer Financial Protection Bureau (CFPB) resulted in the transfer to it of responsibility for certain consumer protection rules that had previously been the responsibility of the Agencies and/or NCUA,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and rules governing consumer privacy. Because the CFPB is not covered by EGRPRA or required to participate in this regulatory review process, the Agencies and NCUA excluded certain consumer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scope of the current review.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addition to rules that have been transferred to the CFPB, insured credit unions are also subject to certain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required to be reviewed under the EGRPRA process, such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of the Treasury's Financial Crimes Enforcement Network. Any comment received during the EGRPRA process that pertains to such a rule will be forwarded to the appropriate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contemplates a two-part regulatory response. First, NCUA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summary of the comments received, identifying and discussing the significant issues raised. Second, the law directs the Agencies to "eliminate unnecessary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such action is appropriate." As was done during the initial decennial review process, the Board anticipates that it will prepare its response separately from the Agencies, but at around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further requires the FFIEC to submit a report to the Congress within 30 days after NCUA and the Agencies publish the comment summary and analysis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report must summarize any significant issues raised by the public comments and discuss the relative merits of those issues. The report also must analyze whether the appropriate federal financial regulator involved is able to address the regulatory burdens associated with the issues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whether the burdens must be addressed by legislation. The FFIEC report submitted to Congress following the initial decennial EGRPRA review included an Agency section discussing banking sector issues and a separate section devoted to NCUA and credit union issues. It is likely that the FFIEC will follow a similar approach in this second decennial EGRPRA review and report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EGRPRA Review's Special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 contemplated by EGRPRA provides a significant opportunity for the public and the Board to consider groups of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identify possibilities for streamlining. The EGRPRA review's overall focus on the totality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offer a new perspective in identifying opportunities to reduce regulatory burden. For example, the EGRPRA review may facilitate the identification of regulatory requirements that are no longer consistent with the way business is conducted and that therefore might be eliminated. Of course, reducing regulatory burden must be consistent with ensuring the continued safety and soundness of federally insured credit unions and appropriate consumer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also recognizes that burden reduction must be consistent with NCUA's statutory mandates, many of which currently require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of the significant aspects of the EGRPRA review program is the recognition that effective burden reduction in certain areas may require legislative change. The Board will be soliciting comment on, and reviewing the comments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carefully for, the relationship among burden reduction, regulatory requirements, and statutory mandates. This will be a key aspect of the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views the approach of considering the relationship of regulatory and statutory change on regulatory burden, in concert with EGRPRA's provisions calling for grouping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to provide the potential for particularly effective burden reduction. The Board believes the EGRPRA review can also significantly contribute to its on-going efforts to reduce regulatory burden. Since 1987, a formally adopted NCUA policy has required the Board to review each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least once every three years with a view toward eliminating, simplifying, or otherwise easing the burden of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n8 Further, the Board addresses the issue of regulatory burden every time it proposes and adopts a rule. Under the Paperwork Reduction Act of 1995, n9 the Regulatory Flexibility Act, n10 and internal agency policies, NCUA examines each rulemaking to minimize the burdens it might impose on the industry and considers various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IRPS 87-2, </w:t>
      </w:r>
      <w:hyperlink r:id="rId12" w:history="1">
        <w:r>
          <w:rPr>
            <w:rFonts w:ascii="arial" w:eastAsia="arial" w:hAnsi="arial" w:cs="arial"/>
            <w:b w:val="0"/>
            <w:i/>
            <w:strike w:val="0"/>
            <w:noProof w:val="0"/>
            <w:color w:val="0077CC"/>
            <w:position w:val="0"/>
            <w:sz w:val="20"/>
            <w:u w:val="single"/>
            <w:vertAlign w:val="baseline"/>
          </w:rPr>
          <w:t>52 FR 35231</w:t>
        </w:r>
      </w:hyperlink>
      <w:r>
        <w:rPr>
          <w:rFonts w:ascii="arial" w:eastAsia="arial" w:hAnsi="arial" w:cs="arial"/>
          <w:b w:val="0"/>
          <w:i w:val="0"/>
          <w:strike w:val="0"/>
          <w:noProof w:val="0"/>
          <w:color w:val="000000"/>
          <w:position w:val="0"/>
          <w:sz w:val="20"/>
          <w:u w:val="none"/>
          <w:vertAlign w:val="baseline"/>
        </w:rPr>
        <w:t xml:space="preserve"> (Sept. 8, 1987) as amended by IRPS 03-2, </w:t>
      </w:r>
      <w:r>
        <w:rPr>
          <w:rFonts w:ascii="arial" w:eastAsia="arial" w:hAnsi="arial" w:cs="arial"/>
          <w:b w:val="0"/>
          <w:i/>
          <w:strike w:val="0"/>
          <w:noProof w:val="0"/>
          <w:color w:val="000000"/>
          <w:position w:val="0"/>
          <w:sz w:val="20"/>
          <w:u w:val="none"/>
          <w:vertAlign w:val="baseline"/>
        </w:rPr>
        <w:t>68 FR 32127</w:t>
      </w:r>
      <w:r>
        <w:rPr>
          <w:rFonts w:ascii="arial" w:eastAsia="arial" w:hAnsi="arial" w:cs="arial"/>
          <w:b w:val="0"/>
          <w:i w:val="0"/>
          <w:strike w:val="0"/>
          <w:noProof w:val="0"/>
          <w:color w:val="000000"/>
          <w:position w:val="0"/>
          <w:sz w:val="20"/>
          <w:u w:val="none"/>
          <w:vertAlign w:val="baseline"/>
        </w:rPr>
        <w:t xml:space="preserve"> (May 29, 2003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particularly sensitive to the impact of agency rules on small institutions. At its September, 2015 meeting, the Board formally increased the threshold for meeting the "small" classification to having assets of less than $ 100 million. n11 The Board is cognizant that each new or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the potential for requiring significant expenditures of time, effort, and money to achieve compliance, and also that this burden can be particularly difficult for institutions of smaller asset size, with fewer resources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80 FR 57512</w:t>
        </w:r>
      </w:hyperlink>
      <w:r>
        <w:rPr>
          <w:rFonts w:ascii="arial" w:eastAsia="arial" w:hAnsi="arial" w:cs="arial"/>
          <w:b w:val="0"/>
          <w:i w:val="0"/>
          <w:strike w:val="0"/>
          <w:noProof w:val="0"/>
          <w:color w:val="000000"/>
          <w:position w:val="0"/>
          <w:sz w:val="20"/>
          <w:u w:val="none"/>
          <w:vertAlign w:val="baseline"/>
        </w:rPr>
        <w:t xml:space="preserve"> (September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Board's Proposed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EGRPRA contemplates the categorization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"type." During the initial decennial review, the Board developed and published for comment ten categories for NCUA's rules, including some that had been issued jointly with the Agencies. The Board believes these initial categories worked well for the purpose of presenting a framework for the review and so has retained them for this second review. n12 The categories, in alphabetical order, are: Agency Programs; Applications and Reporting; Capital; Consumer Protection; Corporate Credit Unions; Directors, Officers and Employees; Money Laundering; Powers and Activities; Rules of Procedure; and Safety and Soundness. As noted above, some of the rules in the consumer protection category are now under CFPB's jurisdiction and administration, and those affected rules have been eliminated. Any rules adopted for the first time since 2006 have been included </w:t>
      </w:r>
      <w:r>
        <w:rPr>
          <w:rFonts w:ascii="arial" w:eastAsia="arial" w:hAnsi="arial" w:cs="arial"/>
          <w:b/>
          <w:i w:val="0"/>
          <w:strike w:val="0"/>
          <w:noProof w:val="0"/>
          <w:color w:val="000000"/>
          <w:position w:val="0"/>
          <w:sz w:val="20"/>
          <w:u w:val="none"/>
          <w:vertAlign w:val="baseline"/>
        </w:rPr>
        <w:t> [*79955] </w:t>
      </w:r>
      <w:r>
        <w:rPr>
          <w:rFonts w:ascii="arial" w:eastAsia="arial" w:hAnsi="arial" w:cs="arial"/>
          <w:b w:val="0"/>
          <w:i w:val="0"/>
          <w:strike w:val="0"/>
          <w:noProof w:val="0"/>
          <w:color w:val="000000"/>
          <w:position w:val="0"/>
          <w:sz w:val="20"/>
          <w:u w:val="none"/>
          <w:vertAlign w:val="baseline"/>
        </w:rPr>
        <w:t xml:space="preserve"> in the appropriate category. n13 Rules still in proposed form are not included in this review; commenters may be assured that comments submitted directly in response to proposed rules will be given due consideration within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Consistent with EGRPRA's focus on reducing burden on insured credit unions, the Board has not included internal, organizational or operational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review.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minimal, if any, burden on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Commenters should note, in this respect, that for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only recently gone into effect, some passage of time may be necessary before the burden associated with the regulatory requirements can be fully and properly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noted during the initial decennial review, although there are other possible ways of categorizing its rules, these ten categories "are logical groupings that are not so broad such that the number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presented in any one category would overwhelm potential commenters. The categories also reflect recognized areas of industry interest and specialization or are particularly critical to the health of the credit union system." As was also noted during the initial review,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lending, pertain to more than one category and are included in all applicable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remains convinced that publishing its rules for public comment separately from the Agencies is the most effective method for achieving EGRPRA's burden reduction goals for federally insured credit unions. Owing to differences in the credit union system as compared to the banking system, there is not a direct, category by category, correlation between NCUA's rules and those of the Agencies. For example, credit unions deal with issues such as membership, credit union service organizations, and corporate credit unions, all of which are unique to credit union operations. Similarly, certain categories identified by the Agencies have limited or no applicability in the credit union sector, such as community reinvestment, international operations, and securities. The categories developed by the Board and the Agencies reflect these differences. The Board intends to maintain comparability with the Agencies' notices to the extent there is overlap or similarity in the issues and the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conclusion of the comment period for each EGRPRA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Board will review the comments it has received and decide whether further action is appropriate with respect to the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that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prepared a chart to assist public understanding of the organization of its review. The chart, set forth at Section V below, presents the two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NCUA is requesting burden reduction recommendations in this final notice. The two categories are shown in the left column. In the middle column are the subject matters that fall within the categories and in the far right column are the regulatory citations.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Request for Burden Reduction Recommendations About the Categories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"Rules of Procedure" and "Safety and Soundness"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seeks public comment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following two categories--"Rules of Procedure" and "Safety and Soundness"--that may impose outdated, unnecessary, or unduly burdensome regulatory requirements on federally insured credit unions. Comments that cite particular provisions or language, and provide reasons why such provisions should be changed, would be most helpful to NCUA's review efforts. Suggested alternative provisions or language, where appropriate, would also be helpful. If the implementation of a comment would require modifying a statute that underlies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 should, if possible, identify the needed statutory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issues for commenters to consider. While all comments related to any aspect of the EGRPRA review are welcome, the Board specifically invites comment on the following issues: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Need and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fulfill current needs? Has industry or other circumstances changed since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written such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 longer necessary? Have there been shifts within the industry or consumer actions that suggest a re-focus of the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impose burdens not required by their authorizing statutes?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statutory change. Do the statutes impose unnecessary requirements? Are any of the statutory requirements underlying these categories redundant, conflicting or otherwise unduly burdensome? If so, how should the statutes be amended?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Overarching approaches/flexibility of the regulatory standards. Generally, is there a different approach to regulating that the Board could use that would achieve statutory goals while imposing less burden?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impose unnecessarily inflexible requirements?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credit unions compared to another part of the financial services industry? If so, how should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Reporting, recordkeeping and disclosure requirements.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or the statutes underlying them impose particularly burdensome reporting, recordkeeping or disclosure requirements? Are any of these requirements similar enough in purpose and use so that they could be consolidated? What, if any, of these requirements could be fulfilled electronically to reduce their burden? Please provide specific recommendations.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Consistency and redundancy. Do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impose inconsistent or redundant regulatory requirements that are not warranted by the circumstances?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Clarity. Are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categories and the underlying statutes drafted in clear and easily understood language? Are there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underlying statutes that need clarification?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Scope of rules. Is the scope of each rule in these categories consistent with the intent of the underlying statute(s)? Could we amend the scope of a rule to clarify its applicability or to reduce the burden, while remaining faithful to statutory intent? If so, specify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should be clarified.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Burden on small insured institutions. The Board has a particular interest in minimizing burden on small insured credit unions (those with less than $ 100 million in assets). NCUA solicits comment on whether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these categories should be continued without change, amended or rescinded in order to minimize any significant economic impact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on a substantial number of small federally insured credit unions.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About Which Burden Reduction Recommendations Are Requested Currently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8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Rules of Procedure</w:t>
            </w: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Liquidation (involuntary and</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709 and 710.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voluntary)</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Uniform rules of practice and</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747, subpart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procedure</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Local rules of practice and</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747, subparts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procedure</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B through J.</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Inflation adjustment of civil</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747, subpart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money penalties</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Issuance, review and</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747, subparts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enforcement of orders imposing</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 and 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prompt corrective action</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Safety and Soundness</w:t>
            </w: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Lending</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701.21.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Investment and Deposit</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Activities</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Supervisory committee audit</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715.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Security programs</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Guidelines for safeguarding</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member information and</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Appendices A and 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responding to unauthorized</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access to member information</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Records preservation program</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and appendices</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Appraisals</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722.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Examination</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Liquidity and contingency</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741.12.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funding plans</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codified elsewhere</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12 CFR 741, subpart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 xml:space="preserve">in NCUA's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as</w:t>
            </w: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applying to federal credit</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unions that also apply to</w:t>
            </w: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federally insured</w:t>
            </w:r>
          </w:p>
        </w:tc>
        <w:tc>
          <w:tcPr>
            <w:tcW w:w="252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state-chartered credit unions</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National Credit Union Administration Board on December 17,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Gerard Poliquin,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2015-32167 Filed 12-22-15;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 must be received on or before March 22,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 (Please send comments by one method only):</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NCUA Web site: </w:t>
      </w:r>
      <w:hyperlink r:id="rId16" w:history="1">
        <w:r>
          <w:rPr>
            <w:rFonts w:ascii="arial" w:eastAsia="arial" w:hAnsi="arial" w:cs="arial"/>
            <w:b w:val="0"/>
            <w:i/>
            <w:strike w:val="0"/>
            <w:noProof w:val="0"/>
            <w:color w:val="0077CC"/>
            <w:position w:val="0"/>
            <w:sz w:val="20"/>
            <w:u w:val="single"/>
            <w:vertAlign w:val="baseline"/>
          </w:rPr>
          <w:t>http://www.ncua.gov/</w:t>
        </w:r>
      </w:hyperlink>
      <w:hyperlink r:id="rId16" w:history="1">
        <w:r>
          <w:rPr>
            <w:rFonts w:ascii="arial" w:eastAsia="arial" w:hAnsi="arial" w:cs="arial"/>
            <w:b/>
            <w:i/>
            <w:strike w:val="0"/>
            <w:noProof w:val="0"/>
            <w:color w:val="0077CC"/>
            <w:position w:val="0"/>
            <w:sz w:val="20"/>
            <w:u w:val="single"/>
            <w:vertAlign w:val="baseline"/>
          </w:rPr>
          <w:t>regulation</w:t>
        </w:r>
      </w:hyperlink>
      <w:hyperlink r:id="rId16" w:history="1">
        <w:r>
          <w:rPr>
            <w:rFonts w:ascii="arial" w:eastAsia="arial" w:hAnsi="arial" w:cs="arial"/>
            <w:b w:val="0"/>
            <w:i/>
            <w:strike w:val="0"/>
            <w:noProof w:val="0"/>
            <w:color w:val="0077CC"/>
            <w:position w:val="0"/>
            <w:sz w:val="20"/>
            <w:u w:val="single"/>
            <w:vertAlign w:val="baseline"/>
          </w:rPr>
          <w:t>-supervision/Pages/rules/proposed.aspx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Address to </w:t>
      </w:r>
      <w:hyperlink r:id="rId17" w:history="1">
        <w:r>
          <w:rPr>
            <w:rFonts w:ascii="arial" w:eastAsia="arial" w:hAnsi="arial" w:cs="arial"/>
            <w:b w:val="0"/>
            <w:i/>
            <w:strike w:val="0"/>
            <w:noProof w:val="0"/>
            <w:color w:val="0077CC"/>
            <w:position w:val="0"/>
            <w:sz w:val="20"/>
            <w:u w:val="single"/>
            <w:vertAlign w:val="baseline"/>
          </w:rPr>
          <w:t>regcomments@ncua.gov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"[Your name] Comments on Regulatory Review pursuant to EGRPRA" in the email subject line.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518-6319. Use the subject line described above for email.</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to Gerard Poliquin, Secretary of the Board, National Credit Union Administration, 1775 Duke Street, Alexandria, Virginia 22314-3428.</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address.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All public comments are available on the agency's Web site at </w:t>
      </w:r>
      <w:hyperlink r:id="rId18"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xml:space="preserve"> as submitted, except as may not be possible for technical reasons. Public comments will not be edited to remove any identifying or contact information. Paper copies of comments may be inspected in NCUA's law library at 1775 Duke Street, Alexandria, Virginia 22314, by appointment weekdays between 9:00 a.m. and 3:00 p.m. To make an appointment, call (703) 518-6546 or send an email to </w:t>
      </w:r>
      <w:hyperlink r:id="rId19" w:history="1">
        <w:r>
          <w:rPr>
            <w:rFonts w:ascii="arial" w:eastAsia="arial" w:hAnsi="arial" w:cs="arial"/>
            <w:b w:val="0"/>
            <w:i/>
            <w:strike w:val="0"/>
            <w:noProof w:val="0"/>
            <w:color w:val="0077CC"/>
            <w:position w:val="0"/>
            <w:sz w:val="20"/>
            <w:u w:val="single"/>
            <w:vertAlign w:val="baseline"/>
          </w:rPr>
          <w:t>OGCMail@ncua.gov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Ross P. Kendall, Special Counsel to the General Counsel, at the above address, or telephone: (703) 518-6562.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79953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91-21H0-006W-82V4-00000-00&amp;context=" TargetMode="External" /><Relationship Id="rId11" Type="http://schemas.openxmlformats.org/officeDocument/2006/relationships/hyperlink" Target="https://advance.lexis.com/api/document?collection=statutes-legislation&amp;id=urn:contentItem:4YF7-GKG1-NRF4-408S-00000-00&amp;context=" TargetMode="External" /><Relationship Id="rId12" Type="http://schemas.openxmlformats.org/officeDocument/2006/relationships/hyperlink" Target="https://advance.lexis.com/api/document?collection=administrative-codes&amp;id=urn:contentItem:3SDR-XTG0-001J-X1J1-00000-00&amp;context=" TargetMode="External" /><Relationship Id="rId13" Type="http://schemas.openxmlformats.org/officeDocument/2006/relationships/hyperlink" Target="https://advance.lexis.com/api/document?collection=statutes-legislation&amp;id=urn:contentItem:4YF7-GNM1-NRF4-408K-00000-00&amp;context=" TargetMode="External" /><Relationship Id="rId14" Type="http://schemas.openxmlformats.org/officeDocument/2006/relationships/hyperlink" Target="https://advance.lexis.com/api/document?collection=administrative-codes&amp;id=urn:contentItem:5H0M-B200-006W-82BM-00000-00&amp;context=" TargetMode="External" /><Relationship Id="rId15" Type="http://schemas.openxmlformats.org/officeDocument/2006/relationships/hyperlink" Target="http://www.regulations.gov" TargetMode="External" /><Relationship Id="rId16" Type="http://schemas.openxmlformats.org/officeDocument/2006/relationships/hyperlink" Target="http://www.ncua.gov/regulation-supervision/Pages/rules/proposed.aspx" TargetMode="External" /><Relationship Id="rId17" Type="http://schemas.openxmlformats.org/officeDocument/2006/relationships/hyperlink" Target="mailto:regcomments@ncua.gov" TargetMode="External" /><Relationship Id="rId18" Type="http://schemas.openxmlformats.org/officeDocument/2006/relationships/hyperlink" Target="http://www.ncua.gov/Legal/Regs/Pages/PropRegs.aspx" TargetMode="External" /><Relationship Id="rId19" Type="http://schemas.openxmlformats.org/officeDocument/2006/relationships/hyperlink" Target="mailto:OGCMail@ncu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NV-5GX0-006W-81RC-00000-00&amp;context=" TargetMode="External" /><Relationship Id="rId8" Type="http://schemas.openxmlformats.org/officeDocument/2006/relationships/hyperlink" Target="https://advance.lexis.com/api/document?collection=administrative-codes&amp;id=urn:contentItem:5CBP-MDV0-006W-82NT-00000-00&amp;context=" TargetMode="External" /><Relationship Id="rId9" Type="http://schemas.openxmlformats.org/officeDocument/2006/relationships/hyperlink" Target="https://advance.lexis.com/api/document?collection=administrative-codes&amp;id=urn:contentItem:5DYP-G5B0-006W-84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