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80799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248, Monday, December 28,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80799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28,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et al. v. AMC Entertainment Holdings, Inc.,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AMC Entertainment Holdings, Inc., et al.,</w:t>
      </w:r>
      <w:r>
        <w:rPr>
          <w:rFonts w:ascii="arial" w:eastAsia="arial" w:hAnsi="arial" w:cs="arial"/>
          <w:b w:val="0"/>
          <w:i w:val="0"/>
          <w:strike w:val="0"/>
          <w:noProof w:val="0"/>
          <w:color w:val="000000"/>
          <w:position w:val="0"/>
          <w:sz w:val="20"/>
          <w:u w:val="none"/>
          <w:vertAlign w:val="baseline"/>
        </w:rPr>
        <w:t xml:space="preserve"> Civil Action No. 1:15-cv-02181. On December 15, 2015, the United States and the State of Connecticut filed a Complaint alleging that AMC Entertainment Holdings, Inc. proposed acquisition of SMH Theatres, Inc. movie theatres and related assets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AMC Entertainment Holdings, Inc. to divest certain theatre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David C. Kully, Chief, Litigation III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4000, Washington, DC 20530 (telephone: 202-305-9969).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4000, Washington, DC 20530,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OF CONNECTICUT, Office of the Attorney General, 55 Elm Street, Hartford, CT 06106,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AMC ENTERTAINMENT HOLDINGS, INC., One AMC Way, 11500 Ash Street, Leawood, KS 64105,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SMH THEATRES, INC., 12750 Merit Drive, Suite 800, Dallas, TX 75251, Defendants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Civil Action No.: 1:15-cv-02181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Beryl A. Howell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Filed: 12/15/2015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acting under the direction of the Attorney General of the United States, and the State of Connecticut, acting by and through its Office of the Attorney General, bring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prevent the proposed acquisition by AMC Entertainment Holdings, Inc. </w:t>
      </w:r>
      <w:r>
        <w:rPr>
          <w:rFonts w:ascii="arial" w:eastAsia="arial" w:hAnsi="arial" w:cs="arial"/>
          <w:b/>
          <w:i w:val="0"/>
          <w:strike w:val="0"/>
          <w:noProof w:val="0"/>
          <w:color w:val="000000"/>
          <w:position w:val="0"/>
          <w:sz w:val="20"/>
          <w:u w:val="none"/>
          <w:vertAlign w:val="baseline"/>
        </w:rPr>
        <w:t> [*80800] </w:t>
      </w:r>
      <w:r>
        <w:rPr>
          <w:rFonts w:ascii="arial" w:eastAsia="arial" w:hAnsi="arial" w:cs="arial"/>
          <w:b w:val="0"/>
          <w:i w:val="0"/>
          <w:strike w:val="0"/>
          <w:noProof w:val="0"/>
          <w:color w:val="000000"/>
          <w:position w:val="0"/>
          <w:sz w:val="20"/>
          <w:u w:val="none"/>
          <w:vertAlign w:val="baseline"/>
        </w:rPr>
        <w:t xml:space="preserve"> ("AMC") of all of the outstanding voting securities of SMH Theatres, Inc. ("Starplex Cinemas").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AMC is a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Starplex Cinemas in the exhibition of first-run, commercial movies in the area in and around East Windsor, New Jersey and in the area in and around Berlin, Connecticut. If AMC's acquisition of Starplex Cinemas is permitted to proceed, it would give AMC direct control of its most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these markets. The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exhibition of first-run, commercial movies in each of these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action is filed by the United States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 25</w:t>
        </w:r>
      </w:hyperlink>
      <w:r>
        <w:rPr>
          <w:rFonts w:ascii="arial" w:eastAsia="arial" w:hAnsi="arial" w:cs="arial"/>
          <w:b w:val="0"/>
          <w:i w:val="0"/>
          <w:strike w:val="0"/>
          <w:noProof w:val="0"/>
          <w:color w:val="000000"/>
          <w:position w:val="0"/>
          <w:sz w:val="20"/>
          <w:u w:val="none"/>
          <w:vertAlign w:val="baseline"/>
        </w:rPr>
        <w:t xml:space="preserve">, to obtain equitable relief and to prevent a violation of Section 7 of the Clayton Act, as amended,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State of Connecticut brings this action under Section 16 of the Clayton Act,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to prevent the defendants from violating Section 7 of the Clayton Act, as amended,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The State of Connecticut, by and through its Office of the Attorney General, brings this action as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on behalf of the citizens, general welfare, and economy of its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distribution and theatrical exhibition of first-run, commercial films is a commercial activity that substantially affects, and is in the flow of, interstate trade and commerce. Defendants' activities in purchasing equipment, services, and supplies as well as licensing films for exhibition substantially affect interstate commerce. The Court has jurisdiction over the subject matter of this action pursuant to </w:t>
      </w:r>
      <w:hyperlink r:id="rId11" w:history="1">
        <w:r>
          <w:rPr>
            <w:rFonts w:ascii="arial" w:eastAsia="arial" w:hAnsi="arial" w:cs="arial"/>
            <w:b w:val="0"/>
            <w:i/>
            <w:strike w:val="0"/>
            <w:noProof w:val="0"/>
            <w:color w:val="0077CC"/>
            <w:position w:val="0"/>
            <w:sz w:val="20"/>
            <w:u w:val="single"/>
            <w:vertAlign w:val="baseline"/>
          </w:rPr>
          <w:t>15 U.S.C. §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Defendants consent to personal jurisdiction and venue in this district. Therefore, this Court has personal jurisdiction over each Defendant and venue is proper under </w:t>
      </w:r>
      <w:hyperlink r:id="rId15" w:history="1">
        <w:r>
          <w:rPr>
            <w:rFonts w:ascii="arial" w:eastAsia="arial" w:hAnsi="arial" w:cs="arial"/>
            <w:b w:val="0"/>
            <w:i/>
            <w:strike w:val="0"/>
            <w:noProof w:val="0"/>
            <w:color w:val="0077CC"/>
            <w:position w:val="0"/>
            <w:sz w:val="20"/>
            <w:u w:val="single"/>
            <w:vertAlign w:val="baseline"/>
          </w:rPr>
          <w:t>28 U.S.C. § 1391(b)</w:t>
        </w:r>
      </w:hyperlink>
      <w:r>
        <w:rPr>
          <w:rFonts w:ascii="arial" w:eastAsia="arial" w:hAnsi="arial" w:cs="arial"/>
          <w:b w:val="0"/>
          <w:i w:val="0"/>
          <w:strike w:val="0"/>
          <w:noProof w:val="0"/>
          <w:color w:val="000000"/>
          <w:position w:val="0"/>
          <w:sz w:val="20"/>
          <w:u w:val="none"/>
          <w:vertAlign w:val="baseline"/>
        </w:rPr>
        <w:t xml:space="preserve"> and (c). In addition, venue is proper under </w:t>
      </w:r>
      <w:hyperlink r:id="rId16"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because one defendant operates theatres in this District; the other transacts business by attracting patrons from and advertising in this District.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DEFENDANTS AND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Defendant AMC is a Delaware corporation with its headquarters in Leawood, Kansas. AMC operates 349 theatres and 4,975 screens in locations throughout the United States. Measured by number of screens and box office revenue, AMC is the second-largest theatre circuit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Defendant Starplex Cinemas is a Texas corporation with its headquarters in Dallas, Texas. Starplex operates 33 movie theatres with a total of 346 screens in the United States, primarily located in small to midsize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On July 13, 2015, AMC and Starplex Cinemas executed a stock purchase agreement. Under the agreement, AMC will acquire all outstanding voting securities of Starplex Cinemas for approximately $ 172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BACKGROUND OF THE MOVIE THEATRE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Viewing movies in the theatre is a popular pastime. Over one billion movie tickets were sold in the United States in 2014, with total box office revenue reaching approximately $ 10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Companies that operate movie theatres are called "exhibitors." Some exhibitors own a single theatre, whereas others own a circuit of theatres within one or more regions of the United States. AMC and Starplex Cinemas are exhibitors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Exhibitors set ticket prices for a theatre based on a number of factors, including the age and condition of the theatre, the number and type of amenities the theatre offers (such as the range of snacks, food and beverages offered, the size of its screens and quality of its sound systems, and whether it provides stadium and/or reserved seating),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facing the theatre (such as the price of tickets at nearby theatres, the age and condition of those theatres, and the number and type of amenities they offer), and the population demographics and density surrounding the theatre.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RELEVANT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Movies are a unique form of entertainment. The experience of viewing a movie in a theatre is an inherently different experience from live entertainment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stage production or attending a sporting event) or viewing a movie in the home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streaming video, on a DVD, or via pay-per-view).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Reflecting the significant differences of viewing a movie in a theatre, ticket prices for movies generally differ from prices for other forms of entertainment. For example, live entertainment is typically significantly more expensive than a movie ticket, whereas home viewing through streaming video, a DVD rental, or pay-per-view is usually significantly less expensive than viewing a movie in a theatre.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Viewing a movie at home typically lacks several characteristics of viewing a movie in a theatre, including the size of the screen, the sophistication of the sound system, and the social experience of viewing a movie with other patrons. In addition, the most popular newly released or "first-run" movies are not available for home viewing at the time they come out in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Movies are considered to be in their "first-run" during the four to five weeks following initial release in a given locality. If successful, a movie may be exhibited at other theatres after the first-run as part of a second or subsequent run (often called a "sub-run" or "second-run"). Moviegoers generally do not regard sub-run movies as an adequate substitute for first-run movies. Reflecting the significant difference between viewing a newly released, first-run movie and an older sub-run movie, tickets at theatres exhibiting first-run movies usually cost significantly more than tickets at sub-run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Art movies and foreign-language movies are also not reasonable substitutes for commercial, first-run movies. Art movies, which include documentaries, are sometimes referred to as independent films. Although art and foreign-language movies appeal to some viewers of commercial movies, art and foreign-language movies tend to have more narrow appeal and typically attract an older audience than commercial movies. Exhibitors consider the operation of theatres that exhibit art and foreign-language movies to be distinct from the operation of theatres that exhibit commercial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The relevant product market within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 is the exhibition of first-run, commercial movies. A hypothetical monopolist controlling the exhibition of all first-run, commercial movies would profitably impose at least a small but significant and non-transitory increase in ticket prices.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Geographic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Moviegoers typically are not willing to travel very far from their home to attend a movie. As a result, geographic markets for the exhibition of first-run, commercial movies are relatively local. </w:t>
      </w:r>
      <w:r>
        <w:rPr>
          <w:rFonts w:ascii="arial" w:eastAsia="arial" w:hAnsi="arial" w:cs="arial"/>
          <w:b/>
          <w:i w:val="0"/>
          <w:strike w:val="0"/>
          <w:noProof w:val="0"/>
          <w:color w:val="000000"/>
          <w:position w:val="0"/>
          <w:sz w:val="20"/>
          <w:u w:val="none"/>
          <w:vertAlign w:val="baseline"/>
        </w:rPr>
        <w:t> [*80801]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East Windsor,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AMC and Starplex Cinemas account for the majority of the first-run, commercial movie tickets sold in and around East Windsor, New Jersey ("East Windsor"). The only theatres that predominantly show first-run commercial movies in the East Windsor area are the Starplex Town Center Plaza 10, the AMC MarketFair 10, and the AMC Hamilton 24. The Starplex theatre is located approximately 10 miles from each of the AMC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Moviegoers who reside in East Windsor are unlikely to travel significant distances out of that area to attend a first-run, commercial movie. A small but significant increase in the price of tickets by a hypothetical monopolist of first-run, commercial movie theatres in East Windsor would likely not cause a sufficient number of moviegoers to travel out of that area to make the increase unprofitable. East Windsor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Berlin,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AMC and Starplex Cinemas account for the majority of the first-run, commercial movie tickets sold in and around Berlin, Connecticut ("Berlin"). Within the Berlin area are the Starplex Berlin 12 and the AMC Plainville 20. These two theatres are located approximately 8 miles apart. Only three other theatres in the Berlin area also show first-run, commercial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Moviegoers who reside in Berlin are unlikely to travel significant distances out of that area to attend a first-run, commercial movie. A small but significant increase in the price of tickets by a hypothetical monopolist of first-run, commercial movie theatres in Berlin would likely not cause a sufficient number of moviegoers to travel out of that area to make the increase unprofitable. Berlin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Exhibitors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moviegoers to their theatres over the theatres of their rivals. They do that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price, knowing that if they charge too much (or do not offer sufficient discounted tickets for matinees, seniors, students, or children) moviegoers will begin to frequent their rivals. Exhibitors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seeking to license the first-run movies that are likely to attract the largest numbers of moviegoers. In addition,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over the quality of the viewing experience by offering moviegoers the most sophisticated sound systems, largest screens, best picture clarity, best seating (including stadium and reserved seating), and the broadest variety and highest quality snacks, food, and drinks at concession stands or cafes in the lobby or served to moviegoers at their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AMC and Starplex Cinemas currently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moviegoers in the East Windsor and Berlin markets. These markets are concentrated, and in each market, AMC and Starplex Cinemas are the other's most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given their close proximity. Their rivalry spurs each to improve the quality of its theatres and keeps ticket prices in check. Theatres operated by other exhibitors offer less attractive options for visitors to defendants' theatres because those theatres are located farther away or are smaller in size or poorer in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In the relevant markets at issue, the acquisition of Starplex Cinemas likely will result in a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East Windsor and Berlin markets, the transaction will lead to significant increases in concentration and eliminate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AMC and Starplex Cinemas.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Market concentration is often a useful indicator of the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vigor in a market and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and the more a transaction would increase that concentration, the more likely it is that the transaction would result in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harming consumers. Market concentration commonly is measured by the Herfindahl-Hirschman Index ("HHI"), as discussed in Appendix A. Markets in which the HHI exceeds 2,500 points are considered highly concentrated, and transactions that increase the HHI by more than 200 points in highly concentrated markets are presumed likely to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In East Windsor, the proposed acquisition would give AMC control of all of the first-run, commercial movie theatres, with 34 out of 34 total screens and a 100% share of the $ 13 million annual box office revenues. The acquisition would yield a post-acquisition HHI of 10,000, representing an increase of roughly 2,300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In Berlin, the proposed acquisition would give AMC control of three of the six first-run, commercial movie theatres, with 44 out of 79 total screens and an approximate 68% share of the $ 11 million annual box office revenues. The acquisition would yield a post-acquisition HHI of approximately 5,260, representing an increase of roughly 2,280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Today, were one of defendants' theatres to unilaterally increase ticket prices in East Windsor or Berlin, the exhibitor that increased price would likely suffer financially as a substantial number of its customers would patronize the other exhibitor. The acquisition would eliminate this pricing constraint. Thus, the acquisition is likely to lead to higher ticket prices for moviegoers, which could take the form of a higher adult evening ticket price or reduced discounting for matinees, children, seniors, 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proposed acquisition likely would also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AMC and Starplex Cinemas over the quality of the viewing experience at their East Windsor or Berlin theatres. If no longer motivated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AMC and Starplex Cinemas would have reduced incentives to maintain, upgrade, and renovate their theatres, to improve the theatres' amenities and services, or to license the most popular movies, thus reducing the quality of the viewing experience for moviegoers in East Windsor and Berlin.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Sufficient, timely entry that would deter or counteract the anticompetitive effects alleged above is unlikely. Exhibitors are reluctant to locate new first-run, commercial theatres near existing first-run, commercial theatres unless the population density, demographics, or the quality of existing theatres makes new entry viable. Over the next two years, entry of new first-run, commercial movie theatres in East Windsor or Berlin would be unlikely to defeat a price increase by the merged firm.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Plaintiffs hereby reincorporate paragraphs 1 through 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likely effect of the proposed transaction would be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product and geographic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The transaction would likely have the following effects, among others: (a) the prices of tickets at first-run, commercial movie theatres in East Windsor and Berlin would likely increase to levels above those that would prevail absent the acquisition; and (b) the quality of first-run, commercial theatres and the viewing experience at those theatres would </w:t>
      </w:r>
      <w:r>
        <w:rPr>
          <w:rFonts w:ascii="arial" w:eastAsia="arial" w:hAnsi="arial" w:cs="arial"/>
          <w:b/>
          <w:i w:val="0"/>
          <w:strike w:val="0"/>
          <w:noProof w:val="0"/>
          <w:color w:val="000000"/>
          <w:position w:val="0"/>
          <w:sz w:val="20"/>
          <w:u w:val="none"/>
          <w:vertAlign w:val="baseline"/>
        </w:rPr>
        <w:t> [*80802] </w:t>
      </w:r>
      <w:r>
        <w:rPr>
          <w:rFonts w:ascii="arial" w:eastAsia="arial" w:hAnsi="arial" w:cs="arial"/>
          <w:b w:val="0"/>
          <w:i w:val="0"/>
          <w:strike w:val="0"/>
          <w:noProof w:val="0"/>
          <w:color w:val="000000"/>
          <w:position w:val="0"/>
          <w:sz w:val="20"/>
          <w:u w:val="none"/>
          <w:vertAlign w:val="baseline"/>
        </w:rPr>
        <w:t xml:space="preserve"> likely decrease below levels that would prevail absent the acquisition.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Plaintiffs request: (a) adjudication that the proposed acquisition would violate Section 7 of the Clayton Act; (b) permanent injunctive relief to prevent the consummation of the proposed acquisition; (c) an award to each Plaintiff of its costs in this action; and (d) such other relief as is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15,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 (D.C. Bar #324723)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for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 Kully (D.C. Bar #448763)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Litigation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C. Glass (D.D.C. Bar #MI0018)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Litigation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A. Scanlon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Litigation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I. Malawer (D.C. Bar #481685),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Miriam R. Vishio (D.C. Bar #482282),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Trial Attorneys, Litigation III,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450 5th Street, NW, Suite 4000, Washington, D.C. 20530, Fax: (202) 514-7308, Telephone: Gregg Malawer (202) 616-5943, Email: </w:t>
      </w:r>
      <w:hyperlink r:id="rId17" w:history="1">
        <w:r>
          <w:rPr>
            <w:rFonts w:ascii="arial" w:eastAsia="arial" w:hAnsi="arial" w:cs="arial"/>
            <w:b w:val="0"/>
            <w:i/>
            <w:strike w:val="0"/>
            <w:noProof w:val="0"/>
            <w:color w:val="0077CC"/>
            <w:position w:val="0"/>
            <w:sz w:val="20"/>
            <w:u w:val="single"/>
            <w:vertAlign w:val="baseline"/>
          </w:rPr>
          <w:t>gregg.malawer@usdoj.gov</w:t>
        </w:r>
      </w:hyperlink>
      <w:r>
        <w:rPr>
          <w:rFonts w:ascii="arial" w:eastAsia="arial" w:hAnsi="arial" w:cs="arial"/>
          <w:b w:val="0"/>
          <w:i w:val="0"/>
          <w:strike w:val="0"/>
          <w:noProof w:val="0"/>
          <w:color w:val="000000"/>
          <w:position w:val="0"/>
          <w:sz w:val="20"/>
          <w:u w:val="none"/>
          <w:vertAlign w:val="baseline"/>
        </w:rPr>
        <w:t xml:space="preserve">, Telephone: Miriam Vishio (202) 598-8091, Email: </w:t>
      </w:r>
      <w:hyperlink r:id="rId18" w:history="1">
        <w:r>
          <w:rPr>
            <w:rFonts w:ascii="arial" w:eastAsia="arial" w:hAnsi="arial" w:cs="arial"/>
            <w:b w:val="0"/>
            <w:i/>
            <w:strike w:val="0"/>
            <w:noProof w:val="0"/>
            <w:color w:val="0077CC"/>
            <w:position w:val="0"/>
            <w:sz w:val="20"/>
            <w:u w:val="single"/>
            <w:vertAlign w:val="baseline"/>
          </w:rPr>
          <w:t>miriam.vishio@usdoj.gov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15,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PLAINTIFF STATE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JEPSEN,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Michael E. Cole,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Chief,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&amp; Government Program Fraud, 55 Elm Street, P.O. Box 120, Hartford, CT 06141-120, 860-808-5040, Email: </w:t>
      </w:r>
      <w:hyperlink r:id="rId19" w:history="1">
        <w:r>
          <w:rPr>
            <w:rFonts w:ascii="arial" w:eastAsia="arial" w:hAnsi="arial" w:cs="arial"/>
            <w:b w:val="0"/>
            <w:i/>
            <w:strike w:val="0"/>
            <w:noProof w:val="0"/>
            <w:color w:val="0077CC"/>
            <w:position w:val="0"/>
            <w:sz w:val="20"/>
            <w:u w:val="single"/>
            <w:vertAlign w:val="baseline"/>
          </w:rPr>
          <w:t>Michael.cole@ct.gov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Herfindahl-Hirschman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"HHI" means the Herfindahl-Hirschman Index, a commonly accepted measure of market concentration.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relevant market and then summing the resulting numbers. For example, for a market consisting of four firms with shares of 30, 30, 20, and 20 percent, the HHI is 2,600 (30&lt;2&gt; + 30&lt;2&gt; + 20&lt;2&gt; + 20&lt;2&gt; = 2,600). The HHI takes into account the relative size distribution of the firms in a market. It approaches zero when a market is occupied by a large number of firms of relatively equal size, and reaches its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in which the HHI is between 1,500 and 2,500 points are considered to be moderately concentrated, and markets in which the HHI is in excess of 2,500 points are considered to be highly concentrated.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Justice &amp; Federal Trade Commission,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5.3 (2010) ("Guidelines"). Transactions that increase the HHI by more than 200 points in highly concentrated markets presumptively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under the Guidelines.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4000, Washington, D.C. 20530,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OF CONNECTICUT, Office of the Attorney General, 55 Elm Street, Hartford, CT 06106,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AMC ENTERTAINMENT HOLDINGS, INC., One AMC Way, 11500 Ash Street, Leawood, KS 64105,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SMH THEATRES, INC., 12750 Merit Drive, Suite 800, Dallas, TX 75251,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1:15-cv-02181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Beryl A. Howell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12/15/2015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13, 2015, Defendant AMC Entertainment Holdings, Inc. ("AMC") agreed to acquire all of the outstanding voting securities of SMH Theatres, Inc. ("Starplex Cinemas"). AMC and Starplex Cinemas are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exhibition of first-run, commercial movies in parts of New Jersey and Connecticut. Plaintiffs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December 15, 2015, seeking to enjoin the proposed acquisition and to obtain equitable relief. The Complaint alleges that the acquisition, if permitted to proceed, would give AMC direct control of its most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area in and around East Windsor, New Jersey and in the area in and around Berlin, Connecticut. The likely effect of this acquisition would be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exhibition of first-run, commercial movies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Complaint was filed, Plaintiffs also filed a Hold Separate Stipulation and Order ("Hold Separate") and a proposed Final Judgment, which are designed to eliminate the anticompetitive effects of the acquisition. Under the proposed Final Judgment, which is explained more fully below, AMC and Starplex Cinemas are required to divest one theatre located in New Jersey and one theatre located in Connecticut to acquirer(s) acceptable to the United States, in consultation with the State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Hold Separate, Defendants will take all steps necessary to ensure that the two theatres to be divested are operated 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concerns,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and not diminished during the pendency of the ordered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Starplex Cinemas is a Texas corporation with its headquarters in Dallas, Texas. Starplex operates 33 movie theatres with a total of 346 screens in 12 states throughout the United States, primarily located in small to midsize markets. Starplex earned domestic box office revenue of approximately $ 57 million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AMC is a Delaware corporation with its headquarters in Leawood, Kansas. It operates 349 theatres and 4,975 screens in locations primarily throughout the United States. Measured by number of screens and box office revenue, AMC is the second-largest theatre exhibitor in the United States and earned domestic box office revenues of approximately $ 1.8 billion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13, 2015, AMC and Starplex Cinemas executed a stock purchase agreement under which AMC will acquire, for approximately $ 172 million, all of the outstanding voting securities of Starplex Cinemas.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transaction, as initially agreed to by AMC and Starplex Cinemas </w:t>
      </w:r>
      <w:r>
        <w:rPr>
          <w:rFonts w:ascii="arial" w:eastAsia="arial" w:hAnsi="arial" w:cs="arial"/>
          <w:b/>
          <w:i w:val="0"/>
          <w:strike w:val="0"/>
          <w:noProof w:val="0"/>
          <w:color w:val="000000"/>
          <w:position w:val="0"/>
          <w:sz w:val="20"/>
          <w:u w:val="none"/>
          <w:vertAlign w:val="baseline"/>
        </w:rPr>
        <w:t> [*80803] </w:t>
      </w:r>
      <w:r>
        <w:rPr>
          <w:rFonts w:ascii="arial" w:eastAsia="arial" w:hAnsi="arial" w:cs="arial"/>
          <w:b w:val="0"/>
          <w:i w:val="0"/>
          <w:strike w:val="0"/>
          <w:noProof w:val="0"/>
          <w:color w:val="000000"/>
          <w:position w:val="0"/>
          <w:sz w:val="20"/>
          <w:u w:val="none"/>
          <w:vertAlign w:val="baseline"/>
        </w:rPr>
        <w:t xml:space="preserve"> on July 13, 2015,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as a result of AMC's acquisition of Starplex Cinemas. This acquisition is the subject of the Complaint and proposed Final Judgment filed by Plaintiffs on December 15,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Effects of the Transaction on the Exhibition of First-Run, Commercial Movies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The Relevant Product and Geographic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exhibition of first-run, commercial movies is a relevant product market under Section 7 of the Clayton Act. The experience of viewing a film in a theatre is an inherently different experience from live entertainment (e.g., a stage production or attending a sporting event), or viewing a movie in the home (e.g., through streaming video, on a DVD, or via pay-per-view).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Reflecting the significant differences between viewing a movie in a theatre and other forms of entertainment, ticket prices for movies are generally very different from prices for other forms of entertainment. Live entertainment is typically significantly more expensive than a movie ticket, whereas renting a DVD or ordering a pay-per view movie for home viewing is usually significantly cheaper than viewing a movie in a theatre.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Moviegoers generally do not regard theatres showing "sub-run" movies, art movies, or foreign language movies as adequate substitutes for commercial, first-run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transaction substantially lessens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two relevant geographic markets: the area in and around East Windsor, New Jersey ("East Windsor") and the area in and around Berlin, Connecticut ("Berlin").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East Windsor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theatres that predominantly show first-run commercial movies in the East Windsor area are the Starplex Town Center Plaza 10, the AMC MarketFair 10, and the AMC Hamilton 24. No other non-party theatres in this area predominantly show first-run, commercial movies.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Berlin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Berlin area are the Starplex Berlin 12 and the AMC Plainville 20. These two theatres are located approximately 8 miles apart. Three non-party theatres in this area also show first-run, commercial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relevant markets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transaction are the first-run, commercial theatres in East Windsor and Berlin. A hypothetical monopolist controlling the exhibition of first-run, commercial movies in East Windsor and Berlin would profitably impose at least a small but significant and non-transitory increase in ticket prices.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in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Exhibitors that operate first-run, commercial theatres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multiple dimensions. Exhibitors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price, knowing that if they charge too much (or do not offer sufficient discounted tickets for matinees, seniors, students, or children), moviegoers will begin to frequent their rivals. Exhibitors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seeking to license the first-run movies that are likely to attract the largest numbers of moviegoers. In addition,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over the quality of the viewing experience.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offer the most sophisticated sound systems, largest screens, best picture clarity, best seating (including stadium and reserved seating), and the broadest range and highest quality snacks, food, and drinks at concession stands or cafes in the lobby or served to moviegoers at their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AMC and Starplex Cinemas currently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moviegoers in East Windsor and Berlin. Each of these markets is concentrated, and AMC and Starplex Cinemas are each other's most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given their close proximity. Their rivalry spurs each to improve the quality of its theatres and keeps ticket prices in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East Windsor and Berlin, the acquisition by AMC of Starplex Cinemas' theatres likely will result in a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transaction will lead to significant increases in concentration and eliminate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AMC and Starplex Cinemas.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East Windsor, the proposed acquisition would give the newly merged entity control of all of the first-run, commercial theatres, with 34 out of 34 total screens and a 100% share of annual box office revenues totaling approximately $ 13 million. Using a measure of market concentration called the Herfindahl-Hirschman Index ("HHI"), as discussed in Appendix A of the Complaint, the acquisition would yield a post-acquisition HHI of 10,000, representing an increase of roughly 2,300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Berlin, the proposed acquisition would give the newly-merged entity control of three of the six first-run, commercial theatres, with 44 out of 79 total screens and an approximate 68% share of annual box office revenues totaling approximately $ 11 million. The acquisition would yield a post-acquisition HHI of approximately 5,260, representing an increase of roughly 2,280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East Windsor and Berlin today, were one of Defendants' theatres to increase ticket prices unilaterally, the exhibitor that increased price would likely suffer financially as a substantial number of its customers would patronize the other exhibitor's theatre. Other theatres are smaller than and/or farther from the parties' theatres and unlikely to offer enough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to prevent such a price increase. After the acquisition, AMC would recapture such losses, making price increases more profitable than they would have been pre-acquisition. The acquisition is, therefore, likely to lead to higher ticket prices for moviegoers, which could take the form of a higher adult evening ticket price or reduced discounting for matinees, children, seniors, and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proposed transaction would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AMC and Starplex Cinemas over the quality of the viewing experience at their theatres in East Windsor and Berlin. If no longer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AMC and Starplex Cinemas would have a reduced incentive to maintain, upgrade, and renovate their theatres, to improve the theatres' amenities and services, and to license the most popular movies, thus reducing the quality of the viewing experience for a moviegoer.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entry of a first-run, commercial theatre sufficient to deter or counteract an increase in movie ticket prices or a decline in theatre quality is unlikely in either East Windsor or Berlin. Exhibitors are reluctant to locate new first-run, commercial theatres near existing first-run, commercial theatres, unless the population density, demographics, or the quality of existing theatres makes new entry viable. Over the next two years, entry of any new first-run, commercial movie theatres in East Windsor and Berlin would be unlikely to defeat a price increase by the merged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these reasons, the proposed transaction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exhibition of first-run, commercial movies in the East Windsor and Berlin markets, eliminate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AMC and Starplex Cinemas, and likely result in increased ticket prices and lower quality theatres in those markets. The proposed transaction therefore violates Section 7 of the Clayton Act. </w:t>
      </w:r>
      <w:r>
        <w:rPr>
          <w:rFonts w:ascii="arial" w:eastAsia="arial" w:hAnsi="arial" w:cs="arial"/>
          <w:b/>
          <w:i w:val="0"/>
          <w:strike w:val="0"/>
          <w:noProof w:val="0"/>
          <w:color w:val="000000"/>
          <w:position w:val="0"/>
          <w:sz w:val="20"/>
          <w:u w:val="none"/>
          <w:vertAlign w:val="baseline"/>
        </w:rPr>
        <w:t> [*80804]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acquisitions in each relevant geographic market, establishing new, independent, and economically 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proposed Final Judgment requires Defendants within thirty (30) calendar days after the filing of the Complaint, or five (5) days after the notice of the entry of the Final Judgment by the Court, whichever is later, to divest as viable, ongoing businesses one theatre in each of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theatres must be divested in such a way as to satisfy Plaintiffs that they can and will be operated by the purchaser as viable, ongoing businesses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as first-run, commercial theatres. To that end, the proposed Final Judgment provides the acquirer(s) of the theatres with an option to enter into a transitional supply agreement with Defendants of up to 120 days in length, with the possibility of one or more extensions not to exceed six months in total, for the supply of any goods, services, support, including software service and support, and reasonable use of the name AMC, the name Starplex, and any registered service marks of AMC or Starplex, for use in operating those theatres during the period of transition. This ensures the acquirer(s) of the theatres can operate without interruption while long-term supply agreements are arranged and the theatres rebranded. Without the option to enter into a transitional supply agreement, the acquirer(s) might find itself temporarily without provisions, including concessions, necessary to operate the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divestitures take place, AMC and Starplex Cinemas must maintain the sales and marketing of the theatres, and maintain the theatres in operable condition at current capacity configurations. In addition, AMC and Starplex Cinemas must not transfer or reassign to other areas within the company their employees with primary responsibility for the operation of the theatres, except for transfer bids initiated by employees pursuant to Defendants' regular, established job-posting policies. In the event that Defendants do not accomplish the divestitures within the periods prescribed in the proposed Final Judgment, the Final Judgment provides that the Court will appoint a trustee selected by the United States to effect the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Defendants are unable to effect any of the divestitures required herein due to its inability to obtain the consent of the landlord from whom a theatre is leased, Section VI.A of the proposed Final Judgment requires them to divest alternative theatre assets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theatres for which the landlord consent was not obtained. These provisions will insure that any failure by Defendants to obtain landlord consent does not thwart the relief obtained in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also prohibits Defendants, without providing at least thirty (30) days notice to the United States Department of Justice, from acquiring any other theatres in the following counties: Hartford County, Connecticut and Mercer County, New Jersey. These counties correspond to the relevant geographic markets in this case. Such acquisitions could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but might be too small to be reported under the Hart-Scott-Rodino ("HSR") premerger notification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provisions of the proposed Final Judgment will eliminate the anticompetitive effects of AMC's acquisition of Starplex Cinemas.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20"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David C. Kully, Chief, Litigation III,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5th Street NW., Suite 4000,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Plaintiffs considered, as an alternative to the proposed Final Judgment, a full trial on the merits against Defendants. Plaintiffs could have continued the litigation and sought preliminary and permanent injunctions against AMC's acquisition of Starplex Cinemas. Plaintiffs are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exhibition of first-run, commercial movies in East Windsor and Berlin. Thus, the proposed Final Judgment would achieve all or substantially all of the relief Plaintiffs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[*80805] </w:t>
      </w:r>
      <w:r>
        <w:rPr>
          <w:rFonts w:ascii="arial" w:eastAsia="arial" w:hAnsi="arial" w:cs="arial"/>
          <w:b w:val="0"/>
          <w:i w:val="0"/>
          <w:strike w:val="0"/>
          <w:noProof w:val="0"/>
          <w:color w:val="000000"/>
          <w:position w:val="0"/>
          <w:sz w:val="20"/>
          <w:u w:val="none"/>
          <w:vertAlign w:val="baseline"/>
        </w:rPr>
        <w:t xml:space="preserve">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21"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2"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3"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4"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5"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6"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2"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8"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5"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9"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9"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0"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2"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1"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4"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1"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w:t>
      </w:r>
      <w:r>
        <w:rPr>
          <w:rFonts w:ascii="arial" w:eastAsia="arial" w:hAnsi="arial" w:cs="arial"/>
          <w:b/>
          <w:i w:val="0"/>
          <w:strike w:val="0"/>
          <w:noProof w:val="0"/>
          <w:color w:val="000000"/>
          <w:position w:val="0"/>
          <w:sz w:val="20"/>
          <w:u w:val="none"/>
          <w:vertAlign w:val="baseline"/>
        </w:rPr>
        <w:t> [*80806] </w:t>
      </w:r>
      <w:r>
        <w:rPr>
          <w:rFonts w:ascii="arial" w:eastAsia="arial" w:hAnsi="arial" w:cs="arial"/>
          <w:b w:val="0"/>
          <w:i w:val="0"/>
          <w:strike w:val="0"/>
          <w:noProof w:val="0"/>
          <w:color w:val="000000"/>
          <w:position w:val="0"/>
          <w:sz w:val="20"/>
          <w:u w:val="none"/>
          <w:vertAlign w:val="baseline"/>
        </w:rPr>
        <w:t xml:space="preserve"> make a mockery of judicial power." </w:t>
      </w:r>
      <w:hyperlink r:id="rId22"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3"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2"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I. MALAWER (D.C. Bar #481685),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R. VISHIO (D.C. Bar # 482282),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5th Street, NW, Suite 4000, Washington, DC 20530, Phone: Gregg Malawer (202) 616-5943, Phone: Miriam Vishio (202) 598-8091 Fax: (202) 514-7308, E-mail: </w:t>
      </w:r>
      <w:hyperlink r:id="rId17" w:history="1">
        <w:r>
          <w:rPr>
            <w:rFonts w:ascii="arial" w:eastAsia="arial" w:hAnsi="arial" w:cs="arial"/>
            <w:b w:val="0"/>
            <w:i/>
            <w:strike w:val="0"/>
            <w:noProof w:val="0"/>
            <w:color w:val="0077CC"/>
            <w:position w:val="0"/>
            <w:sz w:val="20"/>
            <w:u w:val="single"/>
            <w:vertAlign w:val="baseline"/>
          </w:rPr>
          <w:t>gregg.malawer@usdoj.gov</w:t>
        </w:r>
      </w:hyperlink>
      <w:r>
        <w:rPr>
          <w:rFonts w:ascii="arial" w:eastAsia="arial" w:hAnsi="arial" w:cs="arial"/>
          <w:b w:val="0"/>
          <w:i/>
          <w:strike w:val="0"/>
          <w:noProof w:val="0"/>
          <w:color w:val="000000"/>
          <w:position w:val="0"/>
          <w:sz w:val="20"/>
          <w:u w:val="none"/>
          <w:vertAlign w:val="baseline"/>
        </w:rPr>
        <w:t xml:space="preserve">, E-mail: </w:t>
      </w:r>
      <w:hyperlink r:id="rId18" w:history="1">
        <w:r>
          <w:rPr>
            <w:rFonts w:ascii="arial" w:eastAsia="arial" w:hAnsi="arial" w:cs="arial"/>
            <w:b w:val="0"/>
            <w:i/>
            <w:strike w:val="0"/>
            <w:noProof w:val="0"/>
            <w:color w:val="0077CC"/>
            <w:position w:val="0"/>
            <w:sz w:val="20"/>
            <w:u w:val="single"/>
            <w:vertAlign w:val="baseline"/>
          </w:rPr>
          <w:t>miriam.vishio@usdoj.gov</w:t>
        </w:r>
      </w:hyperlink>
      <w:r>
        <w:rPr>
          <w:rFonts w:ascii="arial" w:eastAsia="arial" w:hAnsi="arial" w:cs="arial"/>
          <w:b w:val="0"/>
          <w:i/>
          <w:strike w:val="0"/>
          <w:noProof w:val="0"/>
          <w:color w:val="000000"/>
          <w:position w:val="0"/>
          <w:sz w:val="20"/>
          <w:u w:val="none"/>
          <w:vertAlign w:val="baseline"/>
        </w:rPr>
        <w:t>, Attorneys for Plaintiff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OF AMERICA, and STATE OF CONNECTICUT,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v. AMC ENTERTAINMENT HOLDINGS, INC. and SMH THEATRES, INC., </w:t>
      </w: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Civil Action No.: 1:15-cv-02181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Beryl A. Howell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12/15/2015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Plaintiffs United States of America and the State of Connecticut filed their Complaint on December 15, 2015, the Plaintiffs and Defendants, AMC Entertainment Holdings, Inc. ("AMC"), and SMH Theatres, Inc., ("Starplex Cinemas"),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Plaintiffs require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Plaintiffs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or "Acquirers" means the entity or entities to which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"AMC" means AMC Entertainment Holdings, Inc., a Delaware corporation with its headquarters in Leawood, Kansas,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"Starplex Cinemas" means Starplex Cinemas, Inc., a Texas Corporation with its headquarters in Dallas, Texas,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"Divestiture Assets" means the following theatre assets: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Theatre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Starplex Town Center Plaza 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 Route 130 North, East Windsor, NJ</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08520.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Starplex Berlin 12</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Frontage Rd, Berlin, CT 06037.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"Divestiture Assets" also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All tangible assets that comprise the business of operating theatres that exhibit first-run, commercial movies, including, but not limited to real property and improvements, research and development activities, all equipment, fixed assets, and fixtures, personal property, inventory, office furniture, materials, supplies, and other tangible property and all assets used in connection with the Divestiture Assets; all licenses, permits, and authorizations issued by any governmental organization relating to the Divestiture Assets; all contracts (including management contracts), teaming </w:t>
      </w:r>
      <w:r>
        <w:rPr>
          <w:rFonts w:ascii="arial" w:eastAsia="arial" w:hAnsi="arial" w:cs="arial"/>
          <w:b/>
          <w:i w:val="0"/>
          <w:strike w:val="0"/>
          <w:noProof w:val="0"/>
          <w:color w:val="000000"/>
          <w:position w:val="0"/>
          <w:sz w:val="20"/>
          <w:u w:val="none"/>
          <w:vertAlign w:val="baseline"/>
        </w:rPr>
        <w:t> [*80807] </w:t>
      </w:r>
      <w:r>
        <w:rPr>
          <w:rFonts w:ascii="arial" w:eastAsia="arial" w:hAnsi="arial" w:cs="arial"/>
          <w:b w:val="0"/>
          <w:i w:val="0"/>
          <w:strike w:val="0"/>
          <w:noProof w:val="0"/>
          <w:color w:val="000000"/>
          <w:position w:val="0"/>
          <w:sz w:val="20"/>
          <w:u w:val="none"/>
          <w:vertAlign w:val="baseline"/>
        </w:rPr>
        <w:t xml:space="preserve"> arrangements, agreements, leases, commitments, certifications, and understandings relating to the Divestiture Assets, including supply agreements (provided however, that supply agreements that apply to all of each Defendant's theatres may be excluded from the Divestiture Assets, subject to the transitional agreement provisions specified in Section IV (E)); all customer lists (including loyalty club data at the option of the Acquirer(s), copies of which may be retained by Defendants at their option), contracts, accounts, and credit records relating to the Divestiture Assets; all repair and performance records and all other records relating to the Divestiture Assets;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intangible assets relating to the operation of the Divestiture Assets, including, but not limited to all patents, licenses and sublicenses, intellectual property, copyrights, trademarks, trade names, service marks, service names, (provided however, that the name Starplex, and any registered service marks of Starplex may be excluded from the Divestiture Assets, subject to the transitional agreement provisions specified in Section IV(E)), technical information, computer software and related documentation (provided however, that Defendants' proprietary software may be excluded from the Divestiture Assets, subject to the transitional agreement provisions specified in Section IV(E)), know-how and trade secrets, drawings, blueprints, designs, design protocols, specifications for materials, specifications for parts and devices, safety procedures for the handling of materials and substances, all research data concerning historic and current research and development, quality assurance and control procedures, design tools and simulation capability, all manuals and technical information Starplex Cinemas provides to their own employees, customers, suppliers, agents, or licensees (except for the employee manuals that Starplex provides to all its employees), and all research data concerning historic and current research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"Landlord Consent" means any contractual approval or consent that the landlord or owner of one or more of the Divestiture Assets, or of the property on which one or more of the Divestiture Assets is situated, must grant prior to the transfer of one of the Divestiture Assets to an Acquirer.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AMC and Starplex Cinemas,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thirty (30) calendar days after the filing of the Complaint in this matter to divest the Divestiture Assets in a manner consistent with this Final Judgment to one or more Acquirer(s) acceptable to the United States in its sole discretion (after consultation with the State of Connecticut, as appropriate). The United States, in its sole discretion, may agree to one or more extensions of this time period, not to exceed thirty (30) calendar days in total, and shall notify the Court in such circumstances. Defendants agree to use their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accomplishing the divestitures ordered by this Final Judgment, Defendants promptly shall make known, by usual and customary means, the availability of the Divestiture Assets. Defendants shall inform any person making an inquiry regarding a possible purchase of the Divestiture Assets that they are being divested pursuant to this Final Judgment and provide that person with a copy of this Final Judgment.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 or work-product doctrine. Defendants shall make available such information to the Plaintiffs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provide the Acquirer(s) and the United States information relating to the personnel involved in the operation and management of the applicable Divestiture Assets to enable the Acquirer(s) to make offers of employment. Defendants shall not interfere with any negotiations by the Acquirer(s) to employ or contract with any employee of any Defendant whose primary responsibility relates to the operation or management of the applicable Divestiture Assets being sold by the Acquirer(s).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prospective Acquirer(s) of the Divestiture Assets to have reasonable access to personnel and to make inspections of the physical facilities of the Divestiture Assets;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 connection with the divestiture of the Divestiture Assets pursuant to Section IV, or by a trustee appointed pursuant to Section V, of this Final Judgment, at the option of the Acquirer(s), Defendants shall enter into a transitional supply, service, support, and use agreement ("transitional agreement"), of up to 120 days in length, for the supply of any goods, services, support, including software service and support, and reasonable use of the name AMC, the name Starplex, and any registered service marks of AMC or Starplex, that the Acquirer(s) request for the operation of the Divestiture Assets during the period covered by the transitional agreement. At the request of the Acquirer(s), the United States in its sole discretion (after consultation with the State of Connecticut, as appropriate), may agree to one or more extensions of this time period not to exceed six (6) months in total. The terms and conditions of the transitional agreement must be acceptable to the United States in its sole discretion (after consultation with the State of Connecticut, as appropriate). The transitional agreement shall be deemed incorporated into this Final Judgment and a failure by Defendants to comply with any of the terms or conditions of the transitional agreement shall constitute a failure to comply with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warrant to the Acquirer(s) of the Divestiture Assets that each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not take any action that will impede in any way the permitting, operation, or divestitures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Defendants shall warrant to the Acquirer(s) that there are no material defects in the environmental, zoning, or other permits pertaining to the operation of the Divestiture Assets. Following the sale of the Divestiture Assets, Defendants will not undertake, directly or indirectly, any challenges to the environmental, zoning, or other </w:t>
      </w:r>
      <w:r>
        <w:rPr>
          <w:rFonts w:ascii="arial" w:eastAsia="arial" w:hAnsi="arial" w:cs="arial"/>
          <w:b/>
          <w:i w:val="0"/>
          <w:strike w:val="0"/>
          <w:noProof w:val="0"/>
          <w:color w:val="000000"/>
          <w:position w:val="0"/>
          <w:sz w:val="20"/>
          <w:u w:val="none"/>
          <w:vertAlign w:val="baseline"/>
        </w:rPr>
        <w:t> [*80808] </w:t>
      </w:r>
      <w:r>
        <w:rPr>
          <w:rFonts w:ascii="arial" w:eastAsia="arial" w:hAnsi="arial" w:cs="arial"/>
          <w:b w:val="0"/>
          <w:i w:val="0"/>
          <w:strike w:val="0"/>
          <w:noProof w:val="0"/>
          <w:color w:val="000000"/>
          <w:position w:val="0"/>
          <w:sz w:val="20"/>
          <w:u w:val="none"/>
          <w:vertAlign w:val="baseline"/>
        </w:rPr>
        <w:t xml:space="preserve">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Unless the United States otherwise consents in writing, the divestitures made pursuant to Section IV, and/or by a trustee appointed pursuant to Section V of this Final Judgment, shall include the entire Divestiture Assets and shall be accomplished in such a way as to satisfy the United States, in its sole discretion (after consultation with the State of Connecticut, as appropriate) that the Divestiture Assets can and will be used by the Acquirer(s) as part of a viable, ongoing business of operating theatres that exhibit first-run, commercial movies. Divestiture of the Divestiture Assets may be made to one or more Acquirers, provided that in each instance it is demonstrated to the sole satisfaction of the United States (after consultation with the State of Connecticut, as appropriate) that the Divestiture Assets will remain viable and the divestiture of such assets will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Acquirers that, in the United States' sole judgment (after consultation with the State of Connecticut, as appropriate) have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business of theatres exhibiting first-run, commercial movies;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(after consultation with the State of Connecticut, as appropriate) that none of the terms of any agreement between Acquirers and Defendants gives Defendants the ability unreasonably to raise the Acquirers' costs, to lower the Acquirers' efficiency, or otherwise to interfere in the ability of any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Defendants shall notify the United States of that fact in writing, specifically identifying the Divestiture Assets that have not been divested. Upon application of the United States, the Court shall appoint a trustee selected by the United States and approved by the Court to effect the divestitures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trustee becomes effective, only the trustee shall have the right to sell the Divestiture Assets. The trustee shall have the power and authority to accomplish the divestitures to Acquirer(s) acceptable to the United States (after consultation with the State of Connecticut, as appropriate) at such price and on such terms as are then obtainable upon reasonable effort by the trustee, subject to the provisions of Sections IV, V, VI, and VII of this Final Judgment, and shall have such other powers as this Court deems appropriate. Subject to Section V(D) of this Final Judgment, the trustee may hire at the cost and expense of Defendants any investment bankers, attorneys, or other agents, who shall be solely accountable to the trustee and reasonably necessary in the trustee's judgment to assist in the divestiture(s).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trustee on any ground other than the trustee's malfeasance. Any such objections by Defendants must be conveyed in writing to the United States and the trustee within ten (10) calendar days after the trustee has provided the notice required under Section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trustee shall serve at the cost and expense of Defendants pursuant to a written agreement, on such terms and conditions as the United States approves, including confidentiality requirements and conflict of interest certifications. The trustee shall account for all monies derived from the sale of the applicable Divestiture Assets and all costs and expenses so incurred. After approval by the Court of the trustee's accounting, including fees for its services yet unpaid and those of any professionals and agents retained by the trustee, all remaining money shall be paid to Defendants and the trust shall then be terminated. The compensation of the trustee and any professionals and agents retained by the trustee shall be reasonable in light of the value of the Divestiture Assets subject to sale by the trustee and based on a fee arrangement providing the trustee with an incentive based on the price and terms of the divestitures and the speed with which they are accomplished, but timeliness is paramount. If the trustee and Defendants are unable to reach agreement on the trustee's or any agents' or consultants' compensation or other terms and conditions of engagement within 14 calendar days of appointment of the trustee, the United States may, in its sole discretion (after consultation with the State of Connecticut, as appropriate), take appropriate action, including making a recommendation to the Court. The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trustee in accomplishing the required divestitures. The trustee and any consultants, accountants, attorneys, and other persons retained by the trustee shall have full and complete access to the personnel, books, records, and facilities of the assets and business to be divested, and Defendants shall develop financial and other information relevant to such assets and business as the trustee may reasonably request, subject to reasonable protection for trade secret or other confidential research, development, or commercial information or any applicable privileges. Defendants shall take no action to interfere with or to impede the trustee's accomplishment of the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trustee shall file monthly reports with the parties and the Court setting forth the trustee's efforts to accomplish the divestitures ordered under this Final Judgment. To the extent such reports contain information that the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If the trustee has not accomplished the divestitures ordered under this Final Judgment within six (6) months after its appointment, the trustee shall promptly file with the Court a report setting forth (1) the trustee's efforts to accomplish the required divestitures, (2) the reasons, in the trustee's judgment, why the required divestitures have not been accomplished, and (3) the trustee's recommendations. To the extent such reports contain information that the trustee deems confidential, such reports shall not be filed in the public docket of the Court. The trustee shall at the same time furnish such report to the United States, which shall have the right to make additional recommendations consistent with the purpose of the trust. The Court thereafter shall enter such orders as it </w:t>
      </w:r>
      <w:r>
        <w:rPr>
          <w:rFonts w:ascii="arial" w:eastAsia="arial" w:hAnsi="arial" w:cs="arial"/>
          <w:b/>
          <w:i w:val="0"/>
          <w:strike w:val="0"/>
          <w:noProof w:val="0"/>
          <w:color w:val="000000"/>
          <w:position w:val="0"/>
          <w:sz w:val="20"/>
          <w:u w:val="none"/>
          <w:vertAlign w:val="baseline"/>
        </w:rPr>
        <w:t> [*80809] </w:t>
      </w:r>
      <w:r>
        <w:rPr>
          <w:rFonts w:ascii="arial" w:eastAsia="arial" w:hAnsi="arial" w:cs="arial"/>
          <w:b w:val="0"/>
          <w:i w:val="0"/>
          <w:strike w:val="0"/>
          <w:noProof w:val="0"/>
          <w:color w:val="000000"/>
          <w:position w:val="0"/>
          <w:sz w:val="20"/>
          <w:u w:val="none"/>
          <w:vertAlign w:val="baseline"/>
        </w:rPr>
        <w:t xml:space="preserve"> shall deem appropriate to carry out the purpose of the Final Judgment, which may, if necessary, include extending the trust and the term of the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trustee has ceased to act or failed to act diligently or in a reasonably cost-effective manner, it may recommend the Court appoint a substitute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LANDLORD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If Defendants are unable to effect any of the divestitures required herein due to the inability to obtain the Landlord Consent for any of the Divestiture Assets, Defendants shall divest alternative theatre assets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theatre or theatres for which the Landlord Consent was not obtained. The United States shall, in its sole discretion (after consultation with the State of Connecticut, as appropriate) determine whether such theatre assets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theatres for which Landlord Consent was not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Within five (5) business days following a determination that Landlord Consent cannot be obtained for any of the Divestiture Assets, Defendants shall notify the United States, and Defendants shall propose an alternative divestiture pursuant to Section VI(A). The United States (after consultation with the State of Connecticut, as appropriate) shall have then ten (10) business days in which to determine whether such theatre assets are a suitable alternative pursuant to Section VI(A). If Defendants' selection is deemed not to be a suitable alternative, the United States shall in its sole discretion (after consultation with the State of Connecticut, as appropriate) select alternative theatre assets to be divested from among those theatre(s) that the United States has determined, in its sole discretion,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theatre(s) for which Landlord Consent was not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If a trustee is responsible for effecting divestiture of the Divestiture Assets, it shall notify the United States and Defendants within five (5) business days following a determination that Landlord Consent cannot be obtained for one or more of the Divestiture Assets. Defendants shall thereafter have five (5) business days to propose an alternative divestiture pursuant to Section VI(A). The United States (after consultation with the State of Connecticut, as appropriate) shall then have ten (10) business days to determine whether the proposed theatre assets are a suitable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pursuant to Section VI(A). If Defendants' selection is deemed not to be a suitable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the United States shall in its sole discretion (after consultation with the State of Connecticut, as appropriate) select alternative theatre assets to be divested from among those theatre(s) that the United States has determined, in its sole discretion,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theatre(s) for which Landlord Consent was not obtained.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NOTICE OF PROPOSED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trustee, whoever is then responsible for effecting the divestitures required herein, shall notify the United States and, as appropriate, the State of Connecticut, of any proposed divestitures required by Sections IV, V, or VI of this Final Judgment. If the trustee is responsible, it shall similarly notify Defendants. The notice shall set forth the details of the proposed divestitures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in its sole discretion (after consultation with the State of Connecticut, as appropriate) may request from Defendants, the proposed Acquirer(s), any other third party, or the trustee, if applicable, additional information concerning the proposed divestitures, the proposed Acquirer(s), and any other potential Acquirer(s). Defendants and the trustee shall furnish any additional information requested to the United States within fifteen (15) calendar days of receipt of the request, unless the parties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Acquirer(s), any third party, and the trustee, whichever is later, the United States shall provide written notice to Defendants, and the trustee, if there is one, stating whether it objects to the proposed divestitures. If the United States provides written notice that it does not object, the divestitures may be consummated, subject only to the Defendants' limited right to object to the sale under Section V(C)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written notice that the United States does not object to the proposed Acquirer(s) or upon objection by the United States, a divestiture proposed under Section IV or Section V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divestitures required by this Final Judgment have been accomplished, Defendants shall take all steps necessary to comply with the Hold Separate Stipulation and Order entered by this Court. Defendants shall take no action that would jeopardize the divestitures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divestitures have been completed under Sections IV, V, or VI, Defendants shall deliver to the United States an affidavit as to the fact and manner of its compliance with Sections IV, V, or VI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and complete the sale of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limitations on information, shall be made within fourteen (14) calendar days of receipt of each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Within twenty (20) calendar days of the filing of the Complaint in this matter, Defendants shall deliver to the United States an affidavit that describes in reasonable detail all actions taken and all steps implemented on an </w:t>
      </w:r>
      <w:r>
        <w:rPr>
          <w:rFonts w:ascii="arial" w:eastAsia="arial" w:hAnsi="arial" w:cs="arial"/>
          <w:b/>
          <w:i w:val="0"/>
          <w:strike w:val="0"/>
          <w:noProof w:val="0"/>
          <w:color w:val="000000"/>
          <w:position w:val="0"/>
          <w:sz w:val="20"/>
          <w:u w:val="none"/>
          <w:vertAlign w:val="baseline"/>
        </w:rPr>
        <w:t> [*80810] </w:t>
      </w:r>
      <w:r>
        <w:rPr>
          <w:rFonts w:ascii="arial" w:eastAsia="arial" w:hAnsi="arial" w:cs="arial"/>
          <w:b w:val="0"/>
          <w:i w:val="0"/>
          <w:strike w:val="0"/>
          <w:noProof w:val="0"/>
          <w:color w:val="000000"/>
          <w:position w:val="0"/>
          <w:sz w:val="20"/>
          <w:u w:val="none"/>
          <w:vertAlign w:val="baseline"/>
        </w:rPr>
        <w:t xml:space="preserve"> ongoing basis to comply with Section IX of this Final Judgment. Defendants shall deliver to the United States an affidavit describing any changes to the efforts and actions outlined in their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divestitures have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responses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or an authorized representative of the State of Connecticut, as appropriate,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__________,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2015-32629 Filed 12-24-15;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80799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71-NRF4-41ND-00000-00&amp;context=" TargetMode="External" /><Relationship Id="rId13" Type="http://schemas.openxmlformats.org/officeDocument/2006/relationships/hyperlink" Target="https://advance.lexis.com/api/document?collection=statutes-legislation&amp;id=urn:contentItem:4YF7-GN81-NRF4-4291-00000-00&amp;context=" TargetMode="External" /><Relationship Id="rId14" Type="http://schemas.openxmlformats.org/officeDocument/2006/relationships/hyperlink" Target="https://advance.lexis.com/api/document?collection=statutes-legislation&amp;id=urn:contentItem:4YF7-GR51-NRF4-407Y-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https://advance.lexis.com/api/document?collection=statutes-legislation&amp;id=urn:contentItem:4YF7-GMT1-NRF4-42Y0-00000-00&amp;context=" TargetMode="External" /><Relationship Id="rId17" Type="http://schemas.openxmlformats.org/officeDocument/2006/relationships/hyperlink" Target="mailto:gregg.malawer@usdoj.gov" TargetMode="External" /><Relationship Id="rId18" Type="http://schemas.openxmlformats.org/officeDocument/2006/relationships/hyperlink" Target="mailto:miriam.vishio@usdoj.gov" TargetMode="External" /><Relationship Id="rId19" Type="http://schemas.openxmlformats.org/officeDocument/2006/relationships/hyperlink" Target="mailto:Michael.cole@ct.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P1-NRF4-44B7-00000-00&amp;context=" TargetMode="External" /><Relationship Id="rId21" Type="http://schemas.openxmlformats.org/officeDocument/2006/relationships/hyperlink" Target="https://advance.lexis.com/api/document?collection=cases&amp;id=urn:contentItem:3RTP-83N0-001T-D0C7-00000-00&amp;context=" TargetMode="External" /><Relationship Id="rId22" Type="http://schemas.openxmlformats.org/officeDocument/2006/relationships/hyperlink" Target="https://advance.lexis.com/api/document?collection=cases&amp;id=urn:contentItem:4NCK-65B0-TVT3-D3DR-00000-00&amp;context=" TargetMode="External" /><Relationship Id="rId23" Type="http://schemas.openxmlformats.org/officeDocument/2006/relationships/hyperlink" Target="https://advance.lexis.com/api/document?collection=cases&amp;id=urn:contentItem:5C2F-7GX1-F04C-Y0FY-00000-00&amp;context=" TargetMode="External" /><Relationship Id="rId24" Type="http://schemas.openxmlformats.org/officeDocument/2006/relationships/hyperlink" Target="https://advance.lexis.com/api/document?collection=cases&amp;id=urn:contentItem:4X85-40M0-TXFP-H385-00000-00&amp;context=" TargetMode="External" /><Relationship Id="rId25" Type="http://schemas.openxmlformats.org/officeDocument/2006/relationships/hyperlink" Target="https://advance.lexis.com/api/document?collection=cases&amp;id=urn:contentItem:3S4W-Y8S0-001B-K1MJ-00000-00&amp;context=" TargetMode="External" /><Relationship Id="rId26" Type="http://schemas.openxmlformats.org/officeDocument/2006/relationships/hyperlink" Target="https://advance.lexis.com/api/document?collection=cases&amp;id=urn:contentItem:3S4X-16H0-0039-W1PJ-00000-00&amp;context=" TargetMode="External" /><Relationship Id="rId27" Type="http://schemas.openxmlformats.org/officeDocument/2006/relationships/hyperlink" Target="https://advance.lexis.com/api/document?collection=cases&amp;id=urn:contentItem:44N5-9DK0-0038-Y4CW-00000-00&amp;context=" TargetMode="External" /><Relationship Id="rId28" Type="http://schemas.openxmlformats.org/officeDocument/2006/relationships/hyperlink" Target="https://advance.lexis.com/api/document?collection=cases&amp;id=urn:contentItem:494T-VD60-0038-Y0P1-00000-00&amp;context=" TargetMode="External" /><Relationship Id="rId29" Type="http://schemas.openxmlformats.org/officeDocument/2006/relationships/hyperlink" Target="https://advance.lexis.com/api/document?collection=cases&amp;id=urn:contentItem:3S4V-KH30-0054-628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53H0-003B-S0M5-00000-00&amp;context=" TargetMode="External" /><Relationship Id="rId31" Type="http://schemas.openxmlformats.org/officeDocument/2006/relationships/hyperlink" Target="https://advance.lexis.com/api/document?collection=cases&amp;id=urn:contentItem:40T2-X8J0-0038-Y2SJ-00000-00&amp;context=" TargetMode="External" /><Relationship Id="rId32" Type="http://schemas.openxmlformats.org/officeDocument/2006/relationships/hyperlink" Target="https://advance.lexis.com/api/document?collection=cases&amp;id=urn:contentItem:3S4N-V3J0-0054-72HT-00000-00&amp;context=" TargetMode="Externa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PW-SYY0-006W-822V-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21383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71337632</vt:lpwstr>
  </property>
  <property fmtid="{D5CDD505-2E9C-101B-9397-08002B2CF9AE}" pid="3" name="LADocCount">
    <vt:lpwstr>1</vt:lpwstr>
  </property>
  <property fmtid="{D5CDD505-2E9C-101B-9397-08002B2CF9AE}" pid="4" name="UserPermID">
    <vt:lpwstr>urn:user:PA185916758</vt:lpwstr>
  </property>
</Properties>
</file>