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81356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249, Tuesday, December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81356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Gray Television,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Gray Television, Inc.,</w:t>
      </w:r>
      <w:r>
        <w:rPr>
          <w:rFonts w:ascii="arial" w:eastAsia="arial" w:hAnsi="arial" w:cs="arial"/>
          <w:b w:val="0"/>
          <w:i w:val="0"/>
          <w:strike w:val="0"/>
          <w:noProof w:val="0"/>
          <w:color w:val="000000"/>
          <w:position w:val="0"/>
          <w:sz w:val="20"/>
          <w:u w:val="none"/>
          <w:vertAlign w:val="baseline"/>
        </w:rPr>
        <w:t xml:space="preserve"> Civil Action No. 1:15-cv-02232. On December 22, 2015, the United States filed a Complaint alleging that Gray Television, Inc.'s proposed acquisition of Schurz Communications, Inc.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on the same day as the Complaint, requires Gray to divest certain broadcast television stations in South Bend, Indiana and Wichita,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David Kully, Chief, Litigation III,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Washington, DC 20530, (telephone: 202-305-9969).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7000,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 xml:space="preserve"> Gray Television, Inc., 4370 Peachtree Road NE., Atlanta, GA 30319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Schurz Communications, Inc., 1301 E. Douglas Road, Mishawaka, IN 46545</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1:15-cv-02232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Rudolph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12/22/2015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acting under the direction of the Attorney General of the United States brings this civil action to enjoin the acquisition by Gray Television, Inc. ("Gray") of Schurz Communications, Inc. ("Schurz") and to obtain other equitable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Gray and Schurz own and operate broadcast television stations in multiple Designated Market Areas ("DMAs")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Gray's and Schurz's television stations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for the business of local and national companies that seek to advertise on broadcast television stations in the South Bend, Indiana DMA, and the Wichita, Kansas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South Bend, Indiana DMA, the two broadcast television stations that Gray and Schurz operate account for approximately 67 percent of all broadcast television station gross revenues in that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 the Wichita, Kansas DMA, the three stations that Gray and Schurz operate account for approximately 57 percent of all broadcast television station gross advertising revenues in that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Pursuant to an Asset Purchase Agreement dated September 14, 2015, Gray agreed to acquire Schurz for approximately $ 440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If consummated, the proposed acquisition would eliminate the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Gray and Schurz in the South Bend, Indiana DMA, and the Wichita, Kansas DMA (collectively "the DMA Markets"). Unless enjoined, the proposed transaction is likely to lead to higher prices and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broadcast television spot advertising in each of the DMA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Gray and Schurz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Court has subject-matter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[*81357]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Gray and Schurz are engaged in interstate commerce and in activities substantially affecting interstate commerce. They each own and operate broadcast television stations in various locations throughout the United States and sell television advertising for those stations. Their television advertising sales have had a substantial effect upon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Defendants have consented to venue and personal jurisdiction in this District. Therefore, venue is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Gray is incorporated in the state of Georgia, with its headquarters in Atlanta, Georgia. Gray reported operating revenues of over $ 508 million for the year ended December 31, 2014. As of February 1, 2015, Gray owned and operated broadcast television stations in 44 geographic markets. It owns and operates broadcast television stations in each of the DMA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Schurz is a privately owned radio, television, cable TV and newspaper company, with its headquarters in Mishawaka, Indiana. Schurz owns and operates 10 broadcast television stations in 7 markets. It also owns and operates broadcast television stations in each of the DMA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relevant market for Section 7 of the Clayton Act is the sale of television spot advertising to advertisers targeting viewers in each of the DMA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 DMA is a geographical unit for which A.C. Nielsen Company, a firm that surveys television viewers, furnishes broadcast television stations, advertisers, and advertising agencies in a particular area with data to aid in evaluating audience size and composition. DMAs are widely accepted by television stations, advertisers, and advertising agencies as the standard geographic area to use in evaluating television audience size and demographic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Gray and Schurz sell television advertising to local and national advertisers in each of the DMA Markets. Gray and Schurz television stations in each of the DMA Markets generate almost all of their revenues by selling advertising to local and national advertisers who want to reach viewers in those markets. Spot advertising placed on television stations in a DMA is aimed at reaching viewing audiences in that DMA, and television stations broadcasting outside that DMA do not provide effective access to those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Spot advertising differs from network and syndicated television advertising. In contrast to spot advertising sales, television networks and producers of syndicated programs sell network and syndicated television advertising on a nationwide basis for broadcast in every market where the network or syndicated program is 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Broadcast television stations attract viewers through their programming, which is delivered for free over the air or retransmitted to viewers, primarily through wired cable or other terrestrial television systems and through satellite television systems. Broadcast television stations then sell advertising to businesses that want to advertise their products to television viewers. A television station's advertising rates typically are based on the station's ability,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television stations, to attract viewing audiences that have certain demographic characteristics that advertisers want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Broadcast television spot advertising possesses a unique combination of attributes that set it apart from advertising using other types of media. Television combines sight, sound, and motion, thereby creating a more memorable advertisement. Moreover, of all media, broadcast television spot advertising generally reaches the largest percentage of all potential customers in a particular target geographic area and is therefore especially effective in introducing, establishing, and maintaining the image of a product. For a significant number of advertisers, broadcast television spot advertising, because of its unique combination of attributes, is an advertising medium for which there is no close substitute. Other media, such as radio, newspapers, or outdoor billboards, are not desirable substitutes for broadcast television advertising. None of these media can provide the important combination of sight, sound, and motion that makes television unique and impactful as a medium for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Like broadcast television, subscription television channels such as those carried over cable or satellite television combine elements of sight, sound, and motion, but they are not a desirable substitute for broadcast television spot advertising for two important reasons. First, broadcast television can reach well over 90 percent of homes in a DMA, while satellite, cable and other subscription services often reach many fewer homes. Even when several subscription television companies within a DMA jointly offer cable television spot advertising through a consortium called an interconnect, cable spot advertising does not match the reach of broadcast television spot advertising. As a result, an advertiser can achieve greater audience penetration through broadcast television spot advertising than through advertising on a subscription television channel. Second, because subscription services may offer more than 100 channels, they fragment the audience into small demographic segments. Because broadcast television programming typically has higher rating points than subscription television programming, broadcast television provides a much easier and more efficient means for an advertiser to reach a high proportion of its target demographic.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While media buyers often buy advertising on subscription television channels, they do so not as a substitute for broadcast television spot advertising, but rather as a supplement, in order to reach a narrow demographic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18-24 year olds) with greater frequency, or to target narrow geographic areas within a DMA. A small but significant price increase by broadcast television spot advertising providers would not be made unprofitable by advertisers switching to advertising on subscription television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Internet-based media is not currently a substitute for broadcast television spot advertising. Although Online Video Distributors ("OVDs") such as Netflix and Hulu are important sources of video programming, as with cable television advertising, the local video advertising of OVDs lacks the reach of broadcast television spot advertising. Non-video Internet advertising,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 site banner advertising, lacks the important combination of sight, sound, and motion that gives television its impact. Consequently, local media buyers currently purchase Internet-based advertising primarily as a supplement to broadcast television spot advertising, and a small but significant price increase by broadcast television spot advertising providers would not be made unprofitable by advertisers switching to Internet-based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addition, broadcast television stations negotiate prices individually with advertisers; consequently, television stations can charge different advertisers different prices. Broadcast television stations generally can identify advertisers with strong preferences to advertise on broadcast television stations in their DMAs. Because of this ability to price discriminate among </w:t>
      </w:r>
      <w:r>
        <w:rPr>
          <w:rFonts w:ascii="arial" w:eastAsia="arial" w:hAnsi="arial" w:cs="arial"/>
          <w:b/>
          <w:i w:val="0"/>
          <w:strike w:val="0"/>
          <w:noProof w:val="0"/>
          <w:color w:val="000000"/>
          <w:position w:val="0"/>
          <w:sz w:val="20"/>
          <w:u w:val="none"/>
          <w:vertAlign w:val="baseline"/>
        </w:rPr>
        <w:t> [*81358] </w:t>
      </w:r>
      <w:r>
        <w:rPr>
          <w:rFonts w:ascii="arial" w:eastAsia="arial" w:hAnsi="arial" w:cs="arial"/>
          <w:b w:val="0"/>
          <w:i w:val="0"/>
          <w:strike w:val="0"/>
          <w:noProof w:val="0"/>
          <w:color w:val="000000"/>
          <w:position w:val="0"/>
          <w:sz w:val="20"/>
          <w:u w:val="none"/>
          <w:vertAlign w:val="baseline"/>
        </w:rPr>
        <w:t xml:space="preserve"> customers, broadcast television stations may target with higher prices advertisers that view broadcast television in their DMA as particularly effective for their needs, while maintaining lower prices for more price-sensitive advertisers. As a result, a hypothetical monopolist could profitably raise prices to those advertisers that view broadcast television as a necessary advertising medium, either as their sole means of advertising or as a necessary part of a total advertising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LIKELY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Broadcast television station ownership in each of the DMA Markets is already significantly concentrated. In each of these markets, four stations, each affiliated with a major network, had more than 90 percent of gross advertising revenues in 2014. In the South Bend, Indiana DMA the two stations that Gray and Schurz operate have approximately 67 percent of all television station gross advertising revenues in that DMA. In the Wichita, Kansas DMA the three stations that Gray and Schurz operate have approximately 57 percent of all television station gross advertising revenues in that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Market concentration is often one useful indicator of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Concentration in each of the DMA Markets would increase significantly as a result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As articulated in the Horizontal Merger Guidelines issued by the Department of Justice and the Federal Trade Commission, the Herfindahl-Hirschman Index ("HHI") is a measure of market concentration. The more concentrated a market, and the more a transaction would increase concentration in a market, the more likely it is that a transaction would result in a meaningful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harming consumers. Mergers resulting in highly concentrated markets (with an HHI in excess of 2,500) that involve an increase in the HHI of more than 200 points are presumed to be likely to enhance market power under the 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post-acquisition HHI in each of the DMA Markets would be over 2,500. In the South Bend, Indiana DMA, the post-acquisition HHI would be approximately 4,800. In the Wichita, Kansas DMA, the post-acquisition HHI would be approximately 4,200. Those HHIs are well above the 2,500 threshold at which the Department normally considers a market to be highly concentrated. In addition, Gray's proposed acquisition of Schurz would result in a substantial increase in the HHIs set forth above in excess of the 200 points presumed to be anticompetitive under the 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In addition to increasing concentration in the DMA Markets, the proposed transaction combines stations that are close substitutes and vigorous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markets with limited alternatives. In each of the DMA Markets, Defendants each have broadcast television stations that are affiliated with the major national television networks, ABC, CBS, NBC and FOX. In the South Bend, Indiana DMA, Schurz owns and operates WSBT-TV, a CBS affiliate; and Gray owns and operates WNDU-TV, an NBC affiliate. In the Wichita, Kansas DMA, Schurz owns and operates KWCH-DT, a CBS affiliate; and Gray owns and operates KAKE-TV, an ABC affiliate. Their respective affiliations with those networks, and their local news operations, provide the Defendants' stations with a variety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programming options that are often each other's next-best or second-best substitutes for many viewers and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Advertisers benefit from Defendants'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broadcast television spot advertising in the South Bend, Indiana DMA and the Wichita, Kansas DMA. Advertisers purposefully spread their advertising dollars across numerous spot advertising suppliers to reach their marketing goals most efficiently. After the proposed acquisition, advertisers in each of the DMA Markets would likely find it more difficult to "buy around" the Defendants' combined stations in response to higher advertising rates, than to "buy around" Gray's stations or Schurz's stations, as separate entities, as they could have done before the proposed acquisition. Because a significant number of advertisers would likely be unable to reach their desired audiences as effectively unless they advertise on at least one station that Gray would control after the proposed acquisition, those advertisers' bargaining positions would be weaker, and the advertising rates they pay would likely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De novo entry into the South Bend, Indiana DMA and the Wichita, Kansas DMA is unlikely. The FCC regulates entry through the issuance of broadcast television licenses, which are difficult to obtain because the availability of spectrum is limited and the regulatory process associated with obtaining a license is lengthy. Even if a new signal became available, commercial success would come, at best, over a period of many years. Thus, entry into each DMA Market's broadcast television spot advertising market would not be timely, likely, or sufficient to deter Gray from engaging in anticompetitive price increases or other anticompetitive conduct after the proposed acquisition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Other broadcast television stations in the South Bend, Indiana DMA and the Wichita, Kansas DMA likely would not increase their advertising capacity in response to a price increase by Gray. The number of 30-second spots in a DMA is largely fixed by programming and time constraints. This fact makes the pricing of spot advertising responsive to changes in demand. Adjusting programming in response to a pricing change is risky, difficult, and time-consuming. Network affiliates are often committed to the programming provided by the network with which they are affiliated, and it often takes years for a station to build its audience. Programming schedules are complex and carefully constructed, taking many factors into account, such as audience flow, station identity, and program popularity. In addition, stations typically have multi-year contractual commitments for individual shows. Accordingly, a television station is unlikely to change its programming sufficiently or with sufficient rapidity to overcome a small but significant price increase imposed by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Although Defendants assert that the proposed acquisition would produce efficiencies, they cannot demonstrate acquisition-specific and cognizable efficiencies that would be sufficient to offset the proposed acquisition's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The effect of the proposed acquisition of Schurz by Gray would be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violation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VIOLATIONS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United States hereby repeats and realleges the allegations of paragraphs 1 through 32 as if fully set forth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Gray's proposed acquisition of Schurz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acquisition likely would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broadcast television spot advertising in each of the DMA Markets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Gray and Schurz in the sale of broadcast television spot advertising in </w:t>
      </w:r>
      <w:r>
        <w:rPr>
          <w:rFonts w:ascii="arial" w:eastAsia="arial" w:hAnsi="arial" w:cs="arial"/>
          <w:b/>
          <w:i w:val="0"/>
          <w:strike w:val="0"/>
          <w:noProof w:val="0"/>
          <w:color w:val="000000"/>
          <w:position w:val="0"/>
          <w:sz w:val="20"/>
          <w:u w:val="none"/>
          <w:vertAlign w:val="baseline"/>
        </w:rPr>
        <w:t> [*81359] </w:t>
      </w:r>
      <w:r>
        <w:rPr>
          <w:rFonts w:ascii="arial" w:eastAsia="arial" w:hAnsi="arial" w:cs="arial"/>
          <w:b w:val="0"/>
          <w:i w:val="0"/>
          <w:strike w:val="0"/>
          <w:noProof w:val="0"/>
          <w:color w:val="000000"/>
          <w:position w:val="0"/>
          <w:sz w:val="20"/>
          <w:u w:val="none"/>
          <w:vertAlign w:val="baseline"/>
        </w:rPr>
        <w:t xml:space="preserve"> each of the DMA Markets would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spot advertising on broadcast television stations in each of the DMA Markets would likely increase, and the quality of services would likely decline.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That the Court adjudge the proposed acquisition to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That the Court permanently enjoin and restrain Defendants from carrying out the transaction, or entering into any other agreement, understanding, or plan by which Gray would acquire Schurz;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That the Court award the United States the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That the Court award such other relief to the United States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 (D.C. Bar #324723)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Gelfand (D.C. Bar #416596)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David C. Kully (D.C. Bar #448763)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Litigation III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Merva * (D.C. Bar #451743)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Litigation III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Street, N.W., Suite 4000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Phone: 202-616-1398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Facsimile: 202-514-7308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Mark.Merva@usdoj.gov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GRAY TELEVISION, INC., and SCHURZ COMMUNICATIONS,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1:15-cv-02232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Rudolph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12/22/2015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plaintiff United States of America ("United States")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Gray Television, Inc. ("Gray") and Schurz Communications, Inc. ("Schurz") entered into an Asset Purchase Agreement, dated September 14, 2015, pursuant to which Gray would acquire Schurz for approximately $ 440 million. Defendants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in the sale of broadcast television spot advertising in the following Designated Market Areas ("DMAs"): South Bend, Indiana; and Wichita, Kansas (collectively "the DMA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December 22, 2015, seeking to enjoin the proposed acquisition. The Complaint alleges that the acquisition's likely effect would be to increase broadcast television spot advertising prices in each of the DMA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and proposed Final Judgment, which are designed to eliminate the anticompetitive effects of the acquisition. The proposed Final Judgment, which is explained more fully below, requires Defendants to divest the following broadcast television stations (the "Divestiture Stations") to Acquirers approved by the United States in a manner that preserves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DMA Markets: WSBT-TV, located in the South Bend, Indiana DMA; and KAKE-TV, located in the Wichita, Kansas DMA. The Hold Separate requires Defendants to take certain steps to ensure that the Divestiture Stations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concerns, uninfluenced by the consummation of the acquisition so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until the required divestitures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is incorporated in the state of Georgia, with its headquarters in Atlanta, Georgia. Gray owns and operates broadcast television stations in 44 metropolitan areas. It owns and operates broadcast television stations in each of the DMA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Schurz is an Indiana corporation, with its headquarters in Mishawaka, Indiana. Schurz owns and operates 10 broadcast television stations in 7 metropolitan areas. It also owns and operates, or provides programming, operating, or sales services to broadcast television stations in each of the DMA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an Asset Purchase Agreement dated September 14, 2015, Gray agreed to acquire Schurz for approximately $ 440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Gray and Schurz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against one another for the business of local and national advertisers that seek to purchase television advertising time in each of the DMA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Anticompetitive Consequences of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Broadcast Television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sale of broadcast television spot advertising to advertisers targeting viewers located in each of the DMA Markets constitutes a relevant product market for analyzing this acquisition under Section 7 of the Clayton Act. Gray and Schurz sell television advertising to local and national advertisers that seek to target viewers in each of the DMA Markets. A DMA is a geographical unit designated by the A.C. Nielsen Company, a company that surveys television viewers and furnishes broadcast television stations, advertisers, and advertising agencies in a particular area with data to aid in evaluating television audiences. DMAs are widely accepted by television stations, advertisers, and advertising agencies as the standard geographic area to use in evaluating television audience size and demographic composition. A television station's advertising rates typically are based on the station's ability,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television stations, to attract viewing audiences that have certain demographic characteristics that advertisers are seeking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Gray's and Schurz's broadcast television stations in the DMA Markets generate almost all of their revenues by selling advertising to local and national </w:t>
      </w:r>
      <w:r>
        <w:rPr>
          <w:rFonts w:ascii="arial" w:eastAsia="arial" w:hAnsi="arial" w:cs="arial"/>
          <w:b/>
          <w:i w:val="0"/>
          <w:strike w:val="0"/>
          <w:noProof w:val="0"/>
          <w:color w:val="000000"/>
          <w:position w:val="0"/>
          <w:sz w:val="20"/>
          <w:u w:val="none"/>
          <w:vertAlign w:val="baseline"/>
        </w:rPr>
        <w:t> [*81360] </w:t>
      </w:r>
      <w:r>
        <w:rPr>
          <w:rFonts w:ascii="arial" w:eastAsia="arial" w:hAnsi="arial" w:cs="arial"/>
          <w:b w:val="0"/>
          <w:i w:val="0"/>
          <w:strike w:val="0"/>
          <w:noProof w:val="0"/>
          <w:color w:val="000000"/>
          <w:position w:val="0"/>
          <w:sz w:val="20"/>
          <w:u w:val="none"/>
          <w:vertAlign w:val="baseline"/>
        </w:rPr>
        <w:t xml:space="preserve"> advertisers who want to reach viewers present in those DMAs. Advertising placed on broadcast television stations in a DMA is aimed at reaching viewing audiences in that DMA, and television stations broadcasting outside that DMA do not provide effective access to these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Broadcast television spot advertising possesses a unique combination of attributes that sets it apart from advertising using other types of media. Because of this unique combination of attributes, broadcast television spot advertising has no close substitute for a significant number of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Television combines sight, sound, and motion, thereby creating a more memorable advertisement when compared to other types of advertising. For example, radio spots lack the visual impact of television advertising; and newspaper and billboard ads lack sound and motion, as do many internet search engine and Web site banner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Broadcast television spot advertising also generally reaches the largest percentage of potential customers in a targeted geographic area and is therefore especially effective in introducing, establishing, and maintaining a product's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 advertising differs from network and syndicated television advertising, which are sold on a nationwide basis by major television networks and by producers of syndicated programs and are broadcast in every market area in which the network or syndicated program is aired. Spot advertising on subscription television channels and internet-based video advertising also lacks the same reach as broadcast television spot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through information provided during individualized price negotiations, broadcast television stations can identify advertisers with strong preferences for using broadcast television spot advertising and charge different prices to those advertisers. Consequently, if there were a small but significant and non-transitory increase in the price ("SSNIP") of broadcast television spot advertising on broadcast television stations in the DMA Markets, advertisers would not reduce their purchases sufficiently to render the price increase unprofitable. Advertisers would not switch enough purchases of advertising time to television stations outside the DMA Markets, or to other media to render the price increase unprofitable.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in Each of the DMA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likely would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broadcast television spot advertising in each of the DMA Markets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Gray broadcast television stations and Schurz broadcast television stations in the sale of broadcast television spot advertising in each of the DMA markets would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prices for spot advertising on broadcast television stations in each of the DMA Markets likely would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acquisition, by eliminating Schurz as a separate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combining its operations with Gray's, would allow the combined entity to increase its market share of broadcast television spot advertising and revenues in each of the DMA Markets. In the South Bend, Indiana DMA, combining the two stations that Defendants operate would give Gray approximately 67 percent of all television station gross advertising revenues in that DMA. In the Wichita, Kansas DMA, combining the three stations that Defendants operate would give Gray approximately 57 percent of all television station gross advertising revenues in that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Gray's acquisition of Schurz would further concentrate the already highly concentrated broadcast television market in each of the DMA Markets. Using the Herfindahl-Hirschman Index ("HHI"), a standard measure of market, the post-acquisition HHI in each of the DMA Markets would be over 2,500. Gray's acquisition of Schurz would result in a substantial increase in the HHI set forth above for each DMA Market in excess of the 200 points presumed likely to enhance market power under the Horizontal Merger Guidelines issued by the Department of Justice and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acquisition combines stations that are close substitutes and vigorous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 product market with limited alternatives. In each of the DMA Markets, Defendants have broadcast stations that are affiliated with the major national television networks, ABC, CBS, NBC, and FOX. Their respective affiliations with those networks, and their local news operations, provide Defendants' stations with a variety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programming options that are often each other's next-best or second-best substitutes for viewers and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Complaint alleges that entry or expansion in broadcast television spot advertising each of the DMA Markets would not be timely, likely, or sufficient to prevent any anticompetitive effects. New entry is unlikely because any new station would require an FCC license, which is difficult to obtain. Even if a new station became operational, commercial success would come over a period of many years. The number of 30-second spots available at a station is generally fixed. Accordingly, other television stations in each of the DMA Markets could not readily increase their advertising capacity in response to a small but significant price increase by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for all these reasons, the Complaint alleges that Gray's proposed acquisition of Schurz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television spot advertising time to advertisers targeting viewers in each of the DMA Markets,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Gray and Schurz television stations in those markets, and result in increased prices and reduced quality of service for television advertisers in each of those markets, all in violation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acquisition in each of the DMA Markets by maintaining the Divestiture Stations as independent, economically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proposed Final Judgment requires Gray to divest WSBT-TV, located in South Bend, Indiana to Sinclair Broadcast Group; and KAKE-TV, located in Wichita, Kansas to Lockwood Broadcast Group. The United States has approved each of these divestiture buyers. The United States required Gray to identify each Acquirer of a Divestiture Station in order to provide greater certainty and efficiency in the divestiture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Assets" are defined in Paragraph II. I of the proposed Final Judgment to include all assets, tangible or intangible, principally devoted to or necessary for the operation of the Divestiture Stations as viable, ongoing commercial broadcast television stations. With respect to each Divestiture Station, the divestiture will include assets sufficient to satisfy the United States, in its sole discretion, that such assets can and will be used to operate each station as a viable, ongoing, commercial television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the Divestiture Stations are operated independently from Gray after the divestitures, Sections IV and XI of the proposed Final Judgment prohibit </w:t>
      </w:r>
      <w:r>
        <w:rPr>
          <w:rFonts w:ascii="arial" w:eastAsia="arial" w:hAnsi="arial" w:cs="arial"/>
          <w:b/>
          <w:i w:val="0"/>
          <w:strike w:val="0"/>
          <w:noProof w:val="0"/>
          <w:color w:val="000000"/>
          <w:position w:val="0"/>
          <w:sz w:val="20"/>
          <w:u w:val="none"/>
          <w:vertAlign w:val="baseline"/>
        </w:rPr>
        <w:t> [*81361] </w:t>
      </w:r>
      <w:r>
        <w:rPr>
          <w:rFonts w:ascii="arial" w:eastAsia="arial" w:hAnsi="arial" w:cs="arial"/>
          <w:b w:val="0"/>
          <w:i w:val="0"/>
          <w:strike w:val="0"/>
          <w:noProof w:val="0"/>
          <w:color w:val="000000"/>
          <w:position w:val="0"/>
          <w:sz w:val="20"/>
          <w:u w:val="none"/>
          <w:vertAlign w:val="baseline"/>
        </w:rPr>
        <w:t xml:space="preserve"> Defendants from entering into any agreements during the term of the Final Judgment that create a long-term relationship with or any entanglements that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Gray and an Acquirer of a Divestiture Station concerning the Divestiture Assets after the divestitures are completed. Examples of prohibited agreements include agreements to reacquire any part of the Divestiture Assets, agreements to acquire any option to reacquire any part of the Divestiture Assets or to assign the Divestiture Assets to any other person, agreements to enter into any time brokerage agreement, local marketing agreement, joint sales agreement, other cooperative selling arrangement, or shared services agreement, or agreements to conduct other business negotiations jointly with the Acquirer(s) with respect to the Divestiture Assets, or providing financing or guarantees of financing with respect to the Divestiture Assets, during the term of the Final Judgment. The time brokerage agreement prohibition does not preclude Defendants from entering into an agreement pursuant to which an Acquirer can begin operating a Divestiture Station immediately after the Court's approval of the Hold Separate in this matter, so long as the agreement with the Acquirer expires upon the consummation of a final agreement to divest the Divestiture Assets to the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are required to take all steps reasonably necessary to accomplish the divestitures quickly and to cooperate with prospective purchasers. Because transferring the broadcast license for each of the Divestiture Stations requires FCC approval, Defendants are specifically required to use their best efforts to obtain all necessary FCC approvals as expeditiously as possible. The divestiture of each of the Divestiture Stations must occur within 90 calendar days after the filing of the Complaint in this matter. If applications have been filed with the FCC within the period permitted for divestiture seeking approval to assign or transfer licenses to the Acquirers of the Divestiture Assets, but an order or other dispositive action by the FCC on such applications has not been issued before the end of the period permitted for divestiture, the period shall be extended with respect to divestiture of the Divestiture Assets for which no FCC order has issued until 5 calendar days after such order is issued. The United States, in its sole discretion, may agree to one or more extensions of this time period not to exceed 90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divestitures within the periods prescribed in the proposed Final Judgment, the proposed Final Judgment provides that the Court, upon application of the United States, will appoint a trustee selected by the United States to effect the divestitures. If a trustee is appointed, the proposed Final Judgment provides that Gray will pay all costs and expenses of the trustee. The trustee's commission will be structured to provide an incentive for the trustee based on the price obtained and the speed with which the divestitures are accomplished. After his or her appointment becomes effective, the trustee will file monthly reports with the Court and the United States describing his or her efforts to accomplish the divestiture of any remaining stations. If the divestiture has not been accomplished after 6 months, the trustee and the United States will make recommendations to the Court, which shall enter such orders as appropriate,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7"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David C. Kully, Chief, Litigation III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5th Street NW., Suite 4000,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Defendants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Gray's acquisition of Schurz.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broadcast television spot advertising in each of the DMA Markets.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[*81362] </w:t>
      </w:r>
      <w:r>
        <w:rPr>
          <w:rFonts w:ascii="arial" w:eastAsia="arial" w:hAnsi="arial" w:cs="arial"/>
          <w:b w:val="0"/>
          <w:i w:val="0"/>
          <w:strike w:val="0"/>
          <w:noProof w:val="0"/>
          <w:color w:val="000000"/>
          <w:position w:val="0"/>
          <w:sz w:val="20"/>
          <w:u w:val="none"/>
          <w:vertAlign w:val="baseline"/>
        </w:rPr>
        <w:t xml:space="preserve">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8"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0"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1"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2"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3"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5"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2"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7"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8"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8"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9"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w:t>
      </w:r>
      <w:r>
        <w:rPr>
          <w:rFonts w:ascii="arial" w:eastAsia="arial" w:hAnsi="arial" w:cs="arial"/>
          <w:b/>
          <w:i w:val="0"/>
          <w:strike w:val="0"/>
          <w:noProof w:val="0"/>
          <w:color w:val="000000"/>
          <w:position w:val="0"/>
          <w:sz w:val="20"/>
          <w:u w:val="none"/>
          <w:vertAlign w:val="baseline"/>
        </w:rPr>
        <w:t> [*81363] </w:t>
      </w:r>
      <w:r>
        <w:rPr>
          <w:rFonts w:ascii="arial" w:eastAsia="arial" w:hAnsi="arial" w:cs="arial"/>
          <w:b w:val="0"/>
          <w:i w:val="0"/>
          <w:strike w:val="0"/>
          <w:noProof w:val="0"/>
          <w:color w:val="000000"/>
          <w:position w:val="0"/>
          <w:sz w:val="20"/>
          <w:u w:val="none"/>
          <w:vertAlign w:val="baseline"/>
        </w:rPr>
        <w:t xml:space="preserve">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0"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 v. Mid-Am. Dairymen, Inc.,</w:t>
      </w:r>
      <w:r>
        <w:rPr>
          <w:rFonts w:ascii="arial" w:eastAsia="arial" w:hAnsi="arial" w:cs="arial"/>
          <w:b w:val="0"/>
          <w:i w:val="0"/>
          <w:strike w:val="0"/>
          <w:noProof w:val="0"/>
          <w:color w:val="000000"/>
          <w:position w:val="0"/>
          <w:sz w:val="20"/>
          <w:u w:val="none"/>
          <w:vertAlign w:val="baseline"/>
        </w:rPr>
        <w:t xml:space="preserve"> No. 73-</w:t>
      </w:r>
      <w:hyperlink r:id="rId29"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Mark A. Merva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 A. Merva* (D.C. Bar #451743)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Litigation III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Street, N.W., Suite 4000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Phone: 202-616-1398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Facsimile: 202-514-7308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Mark.Merva@usdoj.gov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GRAY TELEVISION, INC., and SCHURZ COMMUNICATIONS, INC.,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1:15-cv-02232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Rudolph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12/22/2015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the United States of America, filed its Complaint on December 22, 2015, and Defendant Gray Television, Inc. ("Gray") and Defendant Schurz Communications, Inc. ("Schurz"),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"Gray" means Defendant Gray Television, Inc., a Georgia corporation headquartered in Atlanta, Georgia,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"Schurz" means Defendant Schurz Communications, Inc., a Indiana corporation headquartered in Mishawaka, Indiana,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"Sinclair" means Sinclair Broadcast Group, Inc., a Maryland corporation headquartered in Hunt Valley, Maryland, its successor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"Lockwood" means Lockwood Broadcast Group, a Virginia corporation headquartered in Hampton, Virginia, its successor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"Acquirer" means Sinclair, Lockwood, or another entity to which Defendants divest any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"DMA" means Designated Market Area as defined by A.C. Nielsen Company based upon viewing patterns and used by the </w:t>
      </w:r>
      <w:r>
        <w:rPr>
          <w:rFonts w:ascii="arial" w:eastAsia="arial" w:hAnsi="arial" w:cs="arial"/>
          <w:b w:val="0"/>
          <w:i/>
          <w:strike w:val="0"/>
          <w:noProof w:val="0"/>
          <w:color w:val="000000"/>
          <w:position w:val="0"/>
          <w:sz w:val="20"/>
          <w:u w:val="none"/>
          <w:vertAlign w:val="baseline"/>
        </w:rPr>
        <w:t>Investing in Television BIA Market Report 2015</w:t>
      </w:r>
      <w:r>
        <w:rPr>
          <w:rFonts w:ascii="arial" w:eastAsia="arial" w:hAnsi="arial" w:cs="arial"/>
          <w:b w:val="0"/>
          <w:i w:val="0"/>
          <w:strike w:val="0"/>
          <w:noProof w:val="0"/>
          <w:color w:val="000000"/>
          <w:position w:val="0"/>
          <w:sz w:val="20"/>
          <w:u w:val="none"/>
          <w:vertAlign w:val="baseline"/>
        </w:rPr>
        <w:t xml:space="preserve"> (1st edition). DMAs are ranked according to the number of households therein and are used by broadcasters, advertisers, and advertising agencies to aid in evaluating television audience size and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"WSBT-TV" means the CBS-affiliated broadcast television station located in the South Bend, Indiana DMA owned by Defendant Schurz.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"KAKE-TV" means the ABC-affiliated broadcast television station located in the Wichita, Kansas DMA owned by Defendant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"Divestiture Assets" means the WSBT-TV and KAKE-TV broadcast television stations and all assets, tangible or intangible, principally devoted to or necessary for the operations of the stations as viable, ongoing commercial broadcast television stations, including, but not limited to, all real property (owned or leased), all broadcast equipment, office equipment, office furniture, fixtures, materials, supplies, and other tangible property; all licenses, permits, authorizations, and applications therefore issued by the Federal Communications Commission ("FCC") </w:t>
      </w:r>
      <w:r>
        <w:rPr>
          <w:rFonts w:ascii="arial" w:eastAsia="arial" w:hAnsi="arial" w:cs="arial"/>
          <w:b/>
          <w:i w:val="0"/>
          <w:strike w:val="0"/>
          <w:noProof w:val="0"/>
          <w:color w:val="000000"/>
          <w:position w:val="0"/>
          <w:sz w:val="20"/>
          <w:u w:val="none"/>
          <w:vertAlign w:val="baseline"/>
        </w:rPr>
        <w:t> [*81364] </w:t>
      </w:r>
      <w:r>
        <w:rPr>
          <w:rFonts w:ascii="arial" w:eastAsia="arial" w:hAnsi="arial" w:cs="arial"/>
          <w:b w:val="0"/>
          <w:i w:val="0"/>
          <w:strike w:val="0"/>
          <w:noProof w:val="0"/>
          <w:color w:val="000000"/>
          <w:position w:val="0"/>
          <w:sz w:val="20"/>
          <w:u w:val="none"/>
          <w:vertAlign w:val="baseline"/>
        </w:rPr>
        <w:t xml:space="preserve"> and other government agencies related to the stations; all contracts (including programming contracts and rights), agreements, network affiliation agreements, leases, and commitments and understandings of Defendants; all trademarks, service marks, trade names, copyrights, patents, slogans, programming materials, and promotional materials relating to the stations; all customer lists, contracts, accounts, and credit records; and all logs and other records maintained by Defendants in connection with the stations.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Defendants,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Defendants'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ninety (90) calendar days after the filing of the Complaint in this matter, or five (5) calendar days after notice of entry of this Final Judgment by the Court, whichever is later, to divest the Divestiture Assets in a manner consistent with this Final Judgment to one or more Acquirers acceptable to the United States, in its sole discretion. The United States, in its sole discretion, may agree to one or more extensions of this time period not to exceed ninety (90) calendar days in total, and shall notify the Court in such circumstances. With respect to divestiture of the Divestiture Assets by Defendants or a trustee appointed pursuant to Section V of this Final Judgment, if applications have been filed with the FCC within the period permitted for divestiture seeking approval to assign or transfer licenses to the Acquirers of the Divestiture Assets, but an order or other dispositive action by the FCC on such applications has not been issued before the end of the period permitted for divestiture, the period shall be extended with respect to divestiture of the Divestiture Assets for which no FCC order has issued until five (5) days after such order is issued. Defendants agree to use their best efforts to divest the Divestiture Assets as expeditiously as possible, including using their best efforts to obtain all necessary FCC approvals as expeditiously as possible. This Final Judgment does not limit the FCC's exercise of its regulatory powers and process with respect to the Divestiture Assets. Authorization by the FCC to conduct the divestiture of a Divestiture Asset in a particular manner will not modify any of the requirements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that Defendants are attempting to divest assets related to WSBT-TV to an Acquirer other than Sinclair, or assets related to KAKE-TV to an Acquirer other than Lockwood: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Defendants, in accomplishing the divestitures ordered by this Final Judgment, promptly shall make known, by usual and customary means, the availability of the Divestiture Assets not yet divested;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Defendants shall inform any person making an inquiry regarding a possible purchase of the applicable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Defendants shall offer to furnish to all prospective Acquirers, subject to customary confidentiality assurances, all information and documents relating to the applicable Divestiture Assets customarily provided in a due diligence process except such information or documents subject to the attorney-client privilege or work-product doctrine;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provide the Acquirers and the United States information relating to the personnel involved in the operation and management of the applicable Divestiture Assets to enable the Acquirers to make offers of employment. Defendants shall not interfere with any negotiations by the Acquirers to employ or contract with any employee of any Defendant whose primary responsibility relates to the operation or management of the applicable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the prospective Acquirers of the Divestiture Assets to have reasonable access to personnel and to make inspections of the physical facilities of the applicable stations;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warrant to the Acquirers that each Divestiture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At the option of the Acquirer(s), Defendants shall enter into a transition services agreement with the Acquirer(s) for a period of up to six (6) months to facilitate the continuous operations of the Divestiture Assets until the Acquirer can provide such capabilities independently. The terms and conditions of any contractual arrangement intended to satisfy this provision must be reasonably related to market conditions and shall be subject to the approval of the United States, in its sole discretion. Additionally, the United States in its sole discretion may approve one or more extensions of this agreement for a total of up to an additional six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warrant to the Acquirers that there are no material defects in the environmental, zoning, or other permits pertaining to the operation of each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Unless the United States otherwise consents in writing, the divestitures pursuant to Section IV, or by trustee appointed pursuant to Section V of this Final Judgment, shall include the entire Divestiture Assets and be accomplished in such a way as to satisfy the United States, in its sole discretion, that the Divestiture Assets can and will be used by the Acquirers as part of a viable, ongoing commercial television broadcasting business. Divestiture of the Divestiture Assets may be made to one or more Acquirers, provided that in each instance it is demonstrated to the sole satisfaction of the United States that the Divestiture Assets will remain viable, and the divestiture of such assets will achieve the purposes of this Final Judgment and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Acquirers that, in the United States' sole judgment, have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commercial television broadcasting business; and </w:t>
      </w:r>
      <w:r>
        <w:rPr>
          <w:rFonts w:ascii="arial" w:eastAsia="arial" w:hAnsi="arial" w:cs="arial"/>
          <w:b/>
          <w:i w:val="0"/>
          <w:strike w:val="0"/>
          <w:noProof w:val="0"/>
          <w:color w:val="000000"/>
          <w:position w:val="0"/>
          <w:sz w:val="20"/>
          <w:u w:val="none"/>
          <w:vertAlign w:val="baseline"/>
        </w:rPr>
        <w:t> [*81365]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Acquirers and Defendants gives Defendants the ability unreasonably to raise any of the Acquirers' costs, to lower any of the Acquirers' efficiency, or otherwise to interfere in the ability of any of the Acquirers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Defendants shall notify the United States of that fact in writing, specifically identifying the Divestiture Assets that have not been divested. Upon application of the United States, the Court shall appoint a trustee selected by the United States and approved by the Court to effect the divestiture of the Divestiture Assets that have not yet been divested.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trustee becomes effective, only the trustee shall have the right to sell the applicable Divestiture Assets. The trustee shall have the power and authority to accomplish the divestiture to an Acquirer acceptable to the United States at such price and on such terms as are then obtainable upon reasonable effort by the trustee, subject to the provisions of Sections IV, V, and VI of this Final Judgment, and shall have such other powers as this Court deems appropriate. Subject to Section V(D) of this Final Judgment, the trustee may hire at the cost and expense of Defendants any investment bankers, attorneys, or other agents, who shall be solely accountable to the trustee, reasonably necessary in the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trustee on any ground other than the trustee's malfeasance. Any such objections by Defendants must be conveyed in writing to the United States and the trustee within ten (10) calendar days after the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trustee shall serve at the cost and expense of Defendants pursuant to a written agreement, on such terms and conditions as the United States approves, including confidentiality requirements and conflict of interest certifications. The trustee shall account for all monies derived from the sale of the applicable Divestiture Assets and all costs and expenses so incurred. After approval by the Court of the trustee's accounting, including fees for its services yet unpaid and those of any professionals and agents retained by the trustee, all remaining money shall be paid to Defendants and the trust shall then be terminated. The compensation of the trustee and any professionals and agents retained by the trustee shall be reasonable in light of the value of the Divestiture Assets subject to sale by the trustee and based on a fee arrangement providing the trustee with an incentive based on the price and terms of the divestiture and the speed with which it is accomplished, but timeliness is paramount. If the trustee and Defendants are unable to reach agreement on the trustee's or any agents' or consultants' compensation or other terms and conditions of engagement within 14 calendar days of appointment of the trustee, the United States may, in its sole discretion, take appropriate action, including making a recommendation to the Court. The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trustee in accomplishing the required divestiture. The trustee and any consultants, accountants, attorneys, and other agents retained by the trustee shall have full and complete access to the personnel, books, records, and facilities of the business to be divested, and Defendants shall develop financial and other information relevant to such business as the trustee may reasonably request, subject to reasonable protection for trade secret or other confidential research, development, or commercial information or any applicable privileges. Defendants shall take no action to interfere with or to impede the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trustee shall file monthly reports with the United States and, as appropriate, the Court setting forth the trustee's efforts to accomplish the applicable divestiture ordered under this Final Judgment. To the extent such reports contain information that the trustee deems confidential, such report shall not be filed in the public docket of the Court. Such report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trustee shall maintain full records of all efforts made to divest the applicable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trustee has not accomplished any applicable divestiture ordered under this Final Judgment within six (6) months after its appointment, the trustee shall promptly file with the Court a report setting forth (1) the trustee's efforts to accomplish the required divestiture, (2) the reasons, in the trustee's judgment, why the required divestiture has not been accomplished, and (3) the trustee's recommendations. To the extent such report contains information that the trustee deems confidential, such report shall not be filed in the public docket of the Court. The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trustee has ceased to act or failed to act diligently or in a reasonably cost-effective manner, it may recommend the Court appoint a substitute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trustee, whichever is then responsible for effecting the divestitures required herein, shall notify the United States of any proposed divestiture required by Section IV or V of this Final Judgment. If the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Within fifteen (15) calendar days of receipt by the United States of such notice, the United States may request from Defendants, the proposed Acquirer, any other third party, or the trustee, if applicable, additional information concerning the proposed divestiture, the proposed Acquirer, and any other potential Acquirers. Defendants and the trustee shall furnish any additional information requested </w:t>
      </w:r>
      <w:r>
        <w:rPr>
          <w:rFonts w:ascii="arial" w:eastAsia="arial" w:hAnsi="arial" w:cs="arial"/>
          <w:b/>
          <w:i w:val="0"/>
          <w:strike w:val="0"/>
          <w:noProof w:val="0"/>
          <w:color w:val="000000"/>
          <w:position w:val="0"/>
          <w:sz w:val="20"/>
          <w:u w:val="none"/>
          <w:vertAlign w:val="baseline"/>
        </w:rPr>
        <w:t> [*81366] </w:t>
      </w:r>
      <w:r>
        <w:rPr>
          <w:rFonts w:ascii="arial" w:eastAsia="arial" w:hAnsi="arial" w:cs="arial"/>
          <w:b w:val="0"/>
          <w:i w:val="0"/>
          <w:strike w:val="0"/>
          <w:noProof w:val="0"/>
          <w:color w:val="000000"/>
          <w:position w:val="0"/>
          <w:sz w:val="20"/>
          <w:u w:val="none"/>
          <w:vertAlign w:val="baseline"/>
        </w:rPr>
        <w:t xml:space="preserve">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trustee, whichever is later, the United States shall provide written notice to Defendants and the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divestitures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of this Final Judgment, Defendants shall deliver to the United States an affidavit as to the fact and manner of their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and complete the sale of the Divestiture Assets, including efforts to secure FCC or other regulatory approvals,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limitations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Each such affidavit shall also include a description of the efforts Defendants have taken to complete the sale of the Divestiture Assets, including efforts to secure FCC or other regulatory approvals.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copies or electronic copy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responses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 REACQUISITION OR OTHER PROHIBITED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may not (1) reacquire any part of the Divestiture Assets, (2) acquire any option to reacquire any part of the Divestiture Assets or to assign the Divestiture Assets to any other person, (3) enter into any local marketing agreement, joint sales agreement, other cooperative selling arrangement, or shared services agreement, or conduct other business negotiations jointly with the Acquirers with respect to the Divestiture Assets, or (4) provide financing or guarantees of financing with respect to the Divestiture Assets, during the term of this Final Judgment. The shared services prohibition does not preclude Defendants from </w:t>
      </w:r>
      <w:r>
        <w:rPr>
          <w:rFonts w:ascii="arial" w:eastAsia="arial" w:hAnsi="arial" w:cs="arial"/>
          <w:b/>
          <w:i w:val="0"/>
          <w:strike w:val="0"/>
          <w:noProof w:val="0"/>
          <w:color w:val="000000"/>
          <w:position w:val="0"/>
          <w:sz w:val="20"/>
          <w:u w:val="none"/>
          <w:vertAlign w:val="baseline"/>
        </w:rPr>
        <w:t> [*81367] </w:t>
      </w:r>
      <w:r>
        <w:rPr>
          <w:rFonts w:ascii="arial" w:eastAsia="arial" w:hAnsi="arial" w:cs="arial"/>
          <w:b w:val="0"/>
          <w:i w:val="0"/>
          <w:strike w:val="0"/>
          <w:noProof w:val="0"/>
          <w:color w:val="000000"/>
          <w:position w:val="0"/>
          <w:sz w:val="20"/>
          <w:u w:val="none"/>
          <w:vertAlign w:val="baseline"/>
        </w:rPr>
        <w:t xml:space="preserve"> continuing or entering into agreements in a form customarily used in the industry to (1) share news helicopters or (2) pool generic video footage that does not include recording a reporter or other on-air talent, and does not preclude Defendants from entering into any non-sales-related shared services agreement or transition services agreement that is approved in advance by the United States in its sole discretion.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2015-32785 Filed 12-28-15;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81356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Mark.Merva@usdoj.gov" TargetMode="External" /><Relationship Id="rId17" Type="http://schemas.openxmlformats.org/officeDocument/2006/relationships/hyperlink" Target="https://advance.lexis.com/api/document?collection=statutes-legislation&amp;id=urn:contentItem:4YF7-GTP1-NRF4-44B7-00000-00&amp;context=" TargetMode="External" /><Relationship Id="rId18" Type="http://schemas.openxmlformats.org/officeDocument/2006/relationships/hyperlink" Target="https://advance.lexis.com/api/document?collection=cases&amp;id=urn:contentItem:3RTP-83N0-001T-D0C7-00000-00&amp;context=" TargetMode="External" /><Relationship Id="rId19" Type="http://schemas.openxmlformats.org/officeDocument/2006/relationships/hyperlink" Target="https://advance.lexis.com/api/document?collection=cases&amp;id=urn:contentItem:4NCK-65B0-TVT3-D3D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C2F-7GX1-F04C-Y0FY-00000-00&amp;context=" TargetMode="External" /><Relationship Id="rId21" Type="http://schemas.openxmlformats.org/officeDocument/2006/relationships/hyperlink" Target="https://advance.lexis.com/api/document?collection=cases&amp;id=urn:contentItem:4X85-40M0-TXFP-H385-00000-00&amp;context=" TargetMode="External" /><Relationship Id="rId22" Type="http://schemas.openxmlformats.org/officeDocument/2006/relationships/hyperlink" Target="https://advance.lexis.com/api/document?collection=cases&amp;id=urn:contentItem:3S4W-Y8S0-001B-K1MJ-00000-00&amp;context=" TargetMode="External" /><Relationship Id="rId23" Type="http://schemas.openxmlformats.org/officeDocument/2006/relationships/hyperlink" Target="https://advance.lexis.com/api/document?collection=cases&amp;id=urn:contentItem:3S4X-16H0-0039-W1PJ-00000-00&amp;context=" TargetMode="External" /><Relationship Id="rId24" Type="http://schemas.openxmlformats.org/officeDocument/2006/relationships/hyperlink" Target="https://advance.lexis.com/api/document?collection=cases&amp;id=urn:contentItem:44N5-9DK0-0038-Y4CW-00000-00&amp;context=" TargetMode="External" /><Relationship Id="rId25" Type="http://schemas.openxmlformats.org/officeDocument/2006/relationships/hyperlink" Target="https://advance.lexis.com/api/document?collection=cases&amp;id=urn:contentItem:494T-VD60-0038-Y0P1-00000-00&amp;context=" TargetMode="External" /><Relationship Id="rId26" Type="http://schemas.openxmlformats.org/officeDocument/2006/relationships/hyperlink" Target="https://advance.lexis.com/api/document?collection=cases&amp;id=urn:contentItem:3S4V-KH30-0054-6289-00000-00&amp;context=" TargetMode="External" /><Relationship Id="rId27" Type="http://schemas.openxmlformats.org/officeDocument/2006/relationships/hyperlink" Target="https://advance.lexis.com/api/document?collection=cases&amp;id=urn:contentItem:3S4X-53H0-003B-S0M5-00000-00&amp;context=" TargetMode="External" /><Relationship Id="rId28" Type="http://schemas.openxmlformats.org/officeDocument/2006/relationships/hyperlink" Target="https://advance.lexis.com/api/document?collection=cases&amp;id=urn:contentItem:40T2-X8J0-0038-Y2SJ-00000-00&amp;context=" TargetMode="External" /><Relationship Id="rId29" Type="http://schemas.openxmlformats.org/officeDocument/2006/relationships/hyperlink" Target="https://advance.lexis.com/api/document?collection=cases&amp;id=urn:contentItem:3S4N-V3J0-0054-72HT-00000-00&amp;context="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R3-TTD0-006W-8282-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28877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71338844</vt:lpwstr>
  </property>
  <property fmtid="{D5CDD505-2E9C-101B-9397-08002B2CF9AE}" pid="3" name="LADocCount">
    <vt:lpwstr>1</vt:lpwstr>
  </property>
  <property fmtid="{D5CDD505-2E9C-101B-9397-08002B2CF9AE}" pid="4" name="UserPermID">
    <vt:lpwstr>urn:user:PA185916758</vt:lpwstr>
  </property>
</Properties>
</file>