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81387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249, Tuesday, December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81387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Modify the Level 2 Professional Subscriber Fee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34-76738; File No. SR-NASDAQ-2015-152]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15, 2015, The NASDAQ Stock Market LLC ("NASDAQ" or "Exchange") filed with the Securities and Exchange Commission ("Commission" or "SEC") the proposed rule change as described in Items I, II, and III below, which Items have been prepared by NASDAQ.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proposes to modify the NASDAQ Level 2 Professional subscriber ("Subscriber") fee. While the changes proposed herein are effective upon filing, the Exchange has designated that the amendments be operative on January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the proposed rule change is below. Proposed new language is italicized; proposed deletions are bracketed.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Market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7023. NASDAQ Depth-of-Book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Subscriber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NASDAQ Level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Non-Professional Subscribers pay a monthly fee of $ 9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Professional Subscribers pay a monthly fee of $ </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[5]0 each for Display Usage based upon Direct or Indirect Access, or for Non-Display Usage based upon Indirect Access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NASDAQ included statements concerning the purpose of and basis for the proposed rule change and discussed any comments it received on the proposed rule change. The text of these statements may be examined at the places specified in Item IV below. NASDAQ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increase the NASDAQ Level 2 Professional Subscriber fee ("Level 2 fee"). Specifically, the Exchange proposes to increase the Level 2 fee by $ 10 from $ 50 to $ 60 for display usage based upon direct or indirect access, or for non-display usage based upon indirect access only. This proposed rule change will not affect the pricing of the NASDAQ OpenView Non-Professional and Professional Subscriber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NASDAQ Level 2 product is optional. NASDAQ has enhanced this product through capacity upgrades and regulatory data sets over the life of the product. The network capacity for NASDAQ Level 2 has also increased from a 56 Kb feed to the current 33 Mb feed. Additionally, since NASDAQ Level 2 is also used for market making functions, NASDAQ has invested over the years to add regulatory data sets, such as Market Maker Mode, Trading Action status, Limit Up--Limit Down, Market Wide Circuit Breaker (MWCB) messaging and Short Sale Threshold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NASDAQ also increased the infrastructure resiliency with the migration of the entire Exchange's Disaster Recovery facility to Chicago, Illinois, which further reduces proximity risk. The costs associated with this migration are being apportioned among data products across multiple asset classes and, as a result, some of this cost is being allocated to NASDAQ Level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n3 in general, and with Section 6(b)(4) and 6(b)(5) of the Act, n4 in particular, in that it provides an equitable allocation of reasonable fees among Subscribers and recipients of NASDAQ data and is not designed to permit unfair discrimination between them. NASDAQ's proposal to increase the Level 2 fee by $ 10 from $ 50 to $ 60 for display usage based upon direct or indirect access, or for non-display usage based upon indirect access only, is also consistent with the Act in that it reflects an equitable allocation of reasonable fees. The Commission has long recognized the fair and equitable and not unreasonably discriminatory nature of assessing different fees for Professional and Non-Professional Users of the same data. NASDAQ also believes it is equitable to assess a higher fee per Professional User than to an ordinary Non-Professional User due to the enhanced flexibility, lower overall costs and value that it offers Distributors.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Securities Exchange Act Release No. 51808 (June 9, 2005), </w:t>
      </w:r>
      <w:hyperlink r:id="rId1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broker-dealers at all, it follows that the price at which such data is sold should be set by the market as well. The Exchange considers Level 2 to be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r>
        <w:rPr>
          <w:rFonts w:ascii="arial" w:eastAsia="arial" w:hAnsi="arial" w:cs="arial"/>
          <w:b w:val="0"/>
          <w:i/>
          <w:strike w:val="0"/>
          <w:noProof w:val="0"/>
          <w:color w:val="000000"/>
          <w:position w:val="0"/>
          <w:sz w:val="20"/>
          <w:u w:val="none"/>
          <w:vertAlign w:val="baseline"/>
        </w:rPr>
        <w:t>NetCoaliton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n6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w:t>
      </w:r>
      <w:r>
        <w:rPr>
          <w:rFonts w:ascii="arial" w:eastAsia="arial" w:hAnsi="arial" w:cs="arial"/>
          <w:b/>
          <w:i w:val="0"/>
          <w:strike w:val="0"/>
          <w:noProof w:val="0"/>
          <w:color w:val="000000"/>
          <w:position w:val="0"/>
          <w:sz w:val="20"/>
          <w:u w:val="none"/>
          <w:vertAlign w:val="baseline"/>
        </w:rPr>
        <w:t> [*81388] </w:t>
      </w:r>
      <w:r>
        <w:rPr>
          <w:rFonts w:ascii="arial" w:eastAsia="arial" w:hAnsi="arial" w:cs="arial"/>
          <w:b w:val="0"/>
          <w:i w:val="0"/>
          <w:strike w:val="0"/>
          <w:noProof w:val="0"/>
          <w:color w:val="000000"/>
          <w:position w:val="0"/>
          <w:sz w:val="20"/>
          <w:u w:val="none"/>
          <w:vertAlign w:val="baseline"/>
        </w:rPr>
        <w:t xml:space="preserve">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n7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NetCoaliton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 Inc.'s ("NYSE Arca") data product at issue in that case. As explained below in NASDAQ's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NASDAQ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therefore in accordance with the relevant statutory standards. n9 Accordingly, any findings of the court with respect to that product may not be relevant to the product at issue in this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that the allocation of the proposed fee is fair and equitable in accordance with Section 6(b)(4) of the Act, and not unreasonably discriminatory in accordance with Section 6(b)(5) of the Act. As described above, the proposed fee is based on pricing conventions and distinctions that exist in NASDAQ's current fee schedule. These distinctions are each based on principles of fairness and equity that have helped for many years to maintain fair, equitable, and not unreasonably discriminatory fees, and that apply with equal or greater force to the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greater detail below, if NASDAQ has calculated improperly and the market deems the proposed fees to be unfair, inequitable, or unreasonably discriminatory, firms can discontinue the use of their data because the proposed product is optional to all parties. Firms are not required to purchase data and NASDAQ is not required to make data available or to offer specific pricing alternatives for potential purchases. NASDAQ can discontinue offering a pricing alternative (as it has in the past) and firms can discontinue their use at any time and for any reason (as they often do), including due to their assessment of the reasonableness of fees charged. NASDAQ continues to establish and revise pricing policies aimed at increasing fairness and equitable allocation of fees among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believes that periodically it must adjust the Subscriber fees to reflect market forces. NASDAQ believes it is an appropriate time to adjust this fee to more accurately reflect the investments made to enhance this product through capacity upgrades and regulatory data sets added. This also reflects that the market for this information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continually evolves as products develop and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NASDAQ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platforms that provide transaction execution and routing services and proprietary data products. Transaction execution and proprietary data products are complementary in that market data is both an input and a byproduct of the execution service. In fact, market data and trade execution are a paradigmatic example of joint products with joint costs. Data products are valuable to many end Subscribers only insofar as they provide information that end Subscribers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an exchange's customers view the costs of transaction executions and of data as a unified cost of doing business with the exchange. A broker-dealer will direct orders to a particular exchange only if the expected revenues from executing trades on the exchange exceed net transaction execution costs and the cost of data that the broker-dealer chooses to buy to support its trading decisions (or those of its customers). The choice of data products is, in turn, a product of the value of the products in making profitable trading decisions. If the cost of the product exceeds its expected value, the broker-dealer will choose not to buy it. Moreover, as a broker-dealer chooses to direct fewer orders to a particular exchange, the value of the product to that broker-dealer decreases, for two reasons. First, the product will contain less information, because executions of the broker-dealer's orders will not be reflected in it. Second, and perhaps more important, the product will be less valuable to that broker-dealer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broker-dealer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an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n10 However,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broker-dealers with order flow, since they may readily reduce costs by directing orders toward the lowest-cost trading venues. A broker-dealer that shifted its order flow from one platform to another in response to order execution price differentials would both reduce the value of that platform's market data and reduce its own need to consume data from the disfavored platform. Similarly, if a platform increases its market data fees, the </w:t>
      </w:r>
      <w:r>
        <w:rPr>
          <w:rFonts w:ascii="arial" w:eastAsia="arial" w:hAnsi="arial" w:cs="arial"/>
          <w:b/>
          <w:i w:val="0"/>
          <w:strike w:val="0"/>
          <w:noProof w:val="0"/>
          <w:color w:val="000000"/>
          <w:position w:val="0"/>
          <w:sz w:val="20"/>
          <w:u w:val="none"/>
          <w:vertAlign w:val="baseline"/>
        </w:rPr>
        <w:t> [*81389] </w:t>
      </w:r>
      <w:r>
        <w:rPr>
          <w:rFonts w:ascii="arial" w:eastAsia="arial" w:hAnsi="arial" w:cs="arial"/>
          <w:b w:val="0"/>
          <w:i w:val="0"/>
          <w:strike w:val="0"/>
          <w:noProof w:val="0"/>
          <w:color w:val="000000"/>
          <w:position w:val="0"/>
          <w:sz w:val="20"/>
          <w:u w:val="none"/>
          <w:vertAlign w:val="baseline"/>
        </w:rPr>
        <w:t xml:space="preserve"> change will affect the overall cost of doing business with the platform, and affected broker-dealers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distribution in isolation from the cost of all of the inputs supporting the creation of market data will inevitably underestimate the cost of the data. Thus, because it is impossible to create data without a fast, technologically robust, and well-regulated execution system, system costs and regulatory costs affect the price of market data. It would be equally misleading, however, to attribute all of the exchange's costs to the market data portion of an exchange's joint product. Rather,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n11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self-regulatory organization ("SRO") markets, as well as internalizing broker-dealers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trade reporting facilities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Contestability in this rule filing means that the market leader for a particular product can be easily challenged.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so or have announced plans to do so, including NASDAQ, New York Stock Exchange LLC, NYSE MKT LLC, NYSE Arca, and BATS Exchange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based on Nasdaq's experience,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TRFs, the rapid entry of several exchanges into this space in 2006-2007 following the development and Commission approval of the TRF structure demonstrates the contestability of this aspect of the market. n13 Given the demand for trade reporting services that is itself a by-product of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transaction executions--characterized notably by a proliferation of ATSs and BDs offering internalization--any unjustified price increase in the fees associated with trade reporting or TRF data would shift trade report volumes from one of the existing TRFs to the other n14 and create incentives for other </w:t>
      </w:r>
      <w:r>
        <w:rPr>
          <w:rFonts w:ascii="arial" w:eastAsia="arial" w:hAnsi="arial" w:cs="arial"/>
          <w:b/>
          <w:i w:val="0"/>
          <w:strike w:val="0"/>
          <w:noProof w:val="0"/>
          <w:color w:val="000000"/>
          <w:position w:val="0"/>
          <w:sz w:val="20"/>
          <w:u w:val="none"/>
          <w:vertAlign w:val="baseline"/>
        </w:rPr>
        <w:t> [*81390] </w:t>
      </w:r>
      <w:r>
        <w:rPr>
          <w:rFonts w:ascii="arial" w:eastAsia="arial" w:hAnsi="arial" w:cs="arial"/>
          <w:b w:val="0"/>
          <w:i w:val="0"/>
          <w:strike w:val="0"/>
          <w:noProof w:val="0"/>
          <w:color w:val="000000"/>
          <w:position w:val="0"/>
          <w:sz w:val="20"/>
          <w:u w:val="none"/>
          <w:vertAlign w:val="baseline"/>
        </w:rPr>
        <w:t xml:space="preserve"> TRF operators to enter the space. Alternatively, because BDs reporting to TRFs are themselves free to consolidate the market data that they report, the market for over-the-counter data itself, separate and apart from the markets for execution and trade reporting services--is very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low cost exit of two TRFs from the market is also evidence of a contestable market because new entrants are reluctant to enter a market where exit may involve substantial shut-down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It should be noted that the FINRA/NYSE TRF during November 2016 [sic] received reports for 10.6% of non-exchange share volume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stocks that represented 3.8% of overall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consolidated data provides two additional measures of pricing discipline for proprietary data products that are a subset of the consolidated data stream. First, the consolidated data is widely available in real-time at $ 1 per month for non-professional users. Second, consolidated data is also available at no cost with a 15- or 20-minute delay. Because consolidated data contains marketwide information, it effectively places a cap on the fees assessed for proprietary data (such as last sale data) that is simply a subset of the consolidated data. The mere availability of low-cost or free consolidated data provides a powerful form of pricing discipline for proprietary data products that contain data elements that are a subset of the consolidated data, by highlighting the optional nature of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an unjustified price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n15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 [sic]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SR-NASDAQ-2015-152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SR-NASDAQ-2015-152. This file number should be included on the subject line if email is used. To help the Commission process and review your comments more efficiently, please use only one method. The Commission will post all comments on the Commission's Internet Web site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SR-NASDAQ-2015-152, and should be submitted on or before January 19,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authority.&lt;16&gt;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2015-32652 Filed 12-28-15;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81387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C1-NRF4-4309-00000-00&amp;context=" TargetMode="External" /><Relationship Id="rId11" Type="http://schemas.openxmlformats.org/officeDocument/2006/relationships/hyperlink" Target="https://advance.lexis.com/api/document?collection=administrative-codes&amp;id=urn:contentItem:4GH9-4PB0-014W-D1VJ-00000-00&amp;context=" TargetMode="External" /><Relationship Id="rId12" Type="http://schemas.openxmlformats.org/officeDocument/2006/relationships/hyperlink" Target="https://advance.lexis.com/api/document?collection=cases&amp;id=urn:contentItem:803V-DT30-YB0V-T01B-00000-00&amp;context=" TargetMode="External" /><Relationship Id="rId13" Type="http://schemas.openxmlformats.org/officeDocument/2006/relationships/hyperlink" Target="https://advance.lexis.com/api/document?collection=cases&amp;id=urn:contentItem:589M-GYC1-F04K-Y02R-00000-00&amp;context=" TargetMode="External" /><Relationship Id="rId14" Type="http://schemas.openxmlformats.org/officeDocument/2006/relationships/hyperlink" Target="http://www.cinnober.com/boat-trade-reporting" TargetMode="External" /><Relationship Id="rId15" Type="http://schemas.openxmlformats.org/officeDocument/2006/relationships/hyperlink" Target="http://www.sec.gov/rules/sro.shtml" TargetMode="External" /><Relationship Id="rId16" Type="http://schemas.openxmlformats.org/officeDocument/2006/relationships/hyperlink" Target="mailto:rule-comments@sec.gov" TargetMode="External" /><Relationship Id="rId17" Type="http://schemas.openxmlformats.org/officeDocument/2006/relationships/hyperlink" Target="https://advance.lexis.com/api/document?collection=administrative-codes&amp;id=urn:contentItem:5SPP-2120-008G-Y2ND-00000-00&amp;context="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R3-TTF0-006W-828M-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71564255</vt:lpwstr>
  </property>
  <property fmtid="{D5CDD505-2E9C-101B-9397-08002B2CF9AE}" pid="3" name="LADocCount">
    <vt:lpwstr>1</vt:lpwstr>
  </property>
  <property fmtid="{D5CDD505-2E9C-101B-9397-08002B2CF9AE}" pid="4" name="UserPermID">
    <vt:lpwstr>urn:user:PA185916758</vt:lpwstr>
  </property>
</Properties>
</file>