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8855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033, Thursday, February 19,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8855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February 19,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Fulbright-Hays Group Projects Abroad Program--Short-Term Projects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Fulbright-Hays Group Projects Abroad Program--Short-Term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84.021A.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If you use a TDD or a TTY, call the FRS, toll free, at 1-800-877-8339. </w:t>
      </w:r>
      <w:r>
        <w:rPr>
          <w:rFonts w:ascii="arial" w:eastAsia="arial" w:hAnsi="arial" w:cs="arial"/>
          <w:b/>
          <w:i w:val="0"/>
          <w:strike w:val="0"/>
          <w:noProof w:val="0"/>
          <w:color w:val="000000"/>
          <w:position w:val="0"/>
          <w:sz w:val="20"/>
          <w:u w:val="none"/>
          <w:vertAlign w:val="baseline"/>
        </w:rPr>
        <w:t> [*8860]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13,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Ted Mitchell,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Under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2015-03453 Filed 2-18-15;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19,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23,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Fulbright-Hays Group Projects Abroad (Fulbright-Hays GPA) Program supports overseas projects in training, research, and curriculum development in modern foreign languages and area studies for groups of teachers, students, and faculty engaged in a common endeavor. Short-term projects may include seminars, curriculum development, or group research or study.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one absolute priority,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one invitational priority. In accordance with 34 CFR 75.105(b)(2)(ii), the absolute priority is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(34 CFR 664.32).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and 2 are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(34 CFR 664.32),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is from the notice of final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24, 2010 </w:t>
      </w:r>
      <w:hyperlink r:id="rId10" w:history="1">
        <w:r>
          <w:rPr>
            <w:rFonts w:ascii="arial" w:eastAsia="arial" w:hAnsi="arial" w:cs="arial"/>
            <w:b w:val="0"/>
            <w:i/>
            <w:strike w:val="0"/>
            <w:noProof w:val="0"/>
            <w:color w:val="0077CC"/>
            <w:position w:val="0"/>
            <w:sz w:val="20"/>
            <w:u w:val="single"/>
            <w:vertAlign w:val="baseline"/>
          </w:rPr>
          <w:t>(75 FR 59050).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priority is an absolute priority. Under 34 CFR 75.105(c)(3),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Specific Geographic Regions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project that focuses on one or more of the following geographic regions of the world: Africa, East Asia, South Asia, Southeast Asia and the Pacific, the Western Hemisphere (Central and South America, Mexico, and the Caribbean), East Central Europe and Eurasia, and the Near East.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Within this absolute priority, we give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applications that address one or more of the following three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34 CFR 75.105(c)(2)(i), for FY 2015, we award an additional two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up to an additional three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and up to an additional five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An applicant can address one, two, or all three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We can therefore award up to an additional 10 total points to an application, depending on how well the application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2, and 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order to receive preference under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 applicant must identify the priority or priorities that it believes it meets and provide documentation supporting its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Specific Geographic Regions of the World</w:t>
      </w:r>
      <w:r>
        <w:rPr>
          <w:rFonts w:ascii="arial" w:eastAsia="arial" w:hAnsi="arial" w:cs="arial"/>
          <w:b w:val="0"/>
          <w:i w:val="0"/>
          <w:strike w:val="0"/>
          <w:noProof w:val="0"/>
          <w:color w:val="000000"/>
          <w:position w:val="0"/>
          <w:sz w:val="20"/>
          <w:u w:val="none"/>
          <w:vertAlign w:val="baseline"/>
        </w:rPr>
        <w:t xml:space="preserve">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that focus on one or more of the following geographic regions of the world: sub-Saharan Africa (Angola, Benin, Botswana, Burkina Faso, Burundi, Cabo Verde, Cameroon, Central African Republic, Chad, Comoros, Cote d'Ivoire, Democratic Republic of the Congo, Djibouti, Equatorial Guinea, Eritrea, Ethiopia, Gabon, The Gambia, Ghana, Guinea, Guinea-Bissau, Kenya, Lesotho, Liberia, Madagascar, Malawi, Mali, Mauritania, Mauritius, Mayotte, Mozambique, Namibia, Niger, Nigeria, Republic of the Congo, Reunion, Rwanda, Sao Tome and Principe, Senegal, Seychelles, Sierra Leone, Somalia, South Africa, South Sudan, Sudan, Swaziland, Tanzania, Togo, Uganda, Zambia, Zimbabwe); South Asia (Afghanistan, Bangladesh, Bhutan, India, Maldives, Nepal, Pakistan, Sri Lanka); and Southeast Asia (Brunei, Burma, Cambodia, Indonesia, Laos, Malaysia, Philippines, Singapore, Thailand, Timor-Leste, Vietnam).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 Substantive Training and Thematic Focus on Priority Languages</w:t>
      </w:r>
      <w:r>
        <w:rPr>
          <w:rFonts w:ascii="arial" w:eastAsia="arial" w:hAnsi="arial" w:cs="arial"/>
          <w:b w:val="0"/>
          <w:i w:val="0"/>
          <w:strike w:val="0"/>
          <w:noProof w:val="0"/>
          <w:color w:val="000000"/>
          <w:position w:val="0"/>
          <w:sz w:val="20"/>
          <w:u w:val="none"/>
          <w:vertAlign w:val="baseline"/>
        </w:rPr>
        <w:t xml:space="preserve"> (Up to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that propose short-term projects abroad that provide substantive training and thematic focus on any of the 78 priority languages selected from the U.S. Department of Education's list of Less Commonly Taught Languages: Akan (Twi-Fante), Albanian, Amharic, </w:t>
      </w:r>
      <w:r>
        <w:rPr>
          <w:rFonts w:ascii="arial" w:eastAsia="arial" w:hAnsi="arial" w:cs="arial"/>
          <w:b/>
          <w:i w:val="0"/>
          <w:strike w:val="0"/>
          <w:noProof w:val="0"/>
          <w:color w:val="000000"/>
          <w:position w:val="0"/>
          <w:sz w:val="20"/>
          <w:u w:val="none"/>
          <w:vertAlign w:val="baseline"/>
        </w:rPr>
        <w:t> [*8856] </w:t>
      </w:r>
      <w:r>
        <w:rPr>
          <w:rFonts w:ascii="arial" w:eastAsia="arial" w:hAnsi="arial" w:cs="arial"/>
          <w:b w:val="0"/>
          <w:i w:val="0"/>
          <w:strike w:val="0"/>
          <w:noProof w:val="0"/>
          <w:color w:val="000000"/>
          <w:position w:val="0"/>
          <w:sz w:val="20"/>
          <w:u w:val="none"/>
          <w:vertAlign w:val="baseline"/>
        </w:rPr>
        <w:t xml:space="preserve"> Arabic (all dialects), Armenian, Azeri (Azerbaijani), Balochi, Bamanakan (Bamana, Bambara, Mandikan, Mandingo, Maninka, Dyula), Belarusian, Bengali (Bangla), Berber (all languages), Bosnian, Bulgarian, Burmese, Cebuano (Visayan), Chechen, Chinese (Cantonese), Chinese (Gan), Chinese (Mandarin), Chinese (Min), Chinese (Wu), Croatian, Dari, Dinka, Georgian, Gujarati, Hausa, Hebrew (Modern), Hindi, Igbo, Indonesian, Japanese, Javanese, Kannada, Kashmiri, Kazakh, Khmer (Cambodian), Kirghiz, Korean, Kurdish (Kurmanji), Kurdish (Sorani), Lao, Malay (Bahasa Melayu or Malaysian), Malayalam, Marathi, Mongolian, Nepali, Oromo, Panjabi, Pashto, Persian (Farsi), Polish, Portuguese (all varieties), Quechua, Romanian, Russian, Serbian, Sinhala (Sinhalese), Somali, Swahili, Tagalog, Tajik, Tamil, Telugu, Thai, Tibetan, Tigrigna, Turkish, Turkmen, Ukrainian, Urdu, Uyghur/Uigur, Uzbek, Vietnamese, Wolof, Xhosa, Yoruba, and Zulu.</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 Inclusion of K-12 Educators</w:t>
      </w:r>
      <w:r>
        <w:rPr>
          <w:rFonts w:ascii="arial" w:eastAsia="arial" w:hAnsi="arial" w:cs="arial"/>
          <w:b w:val="0"/>
          <w:i w:val="0"/>
          <w:strike w:val="0"/>
          <w:noProof w:val="0"/>
          <w:color w:val="000000"/>
          <w:position w:val="0"/>
          <w:sz w:val="20"/>
          <w:u w:val="none"/>
          <w:vertAlign w:val="baseline"/>
        </w:rPr>
        <w:t xml:space="preserv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that propose short-term projects abroad that develop and improve foreign language studies, area studies, or both at elementary and secondary schools by including K-12 teachers or K-12 administrators as at least 50 percent of the project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based on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34 CFR 75.105(c)(1),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from any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Minority-Serving Institutions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Community colleges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New applicants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Minority-Serving Institution</w:t>
      </w:r>
      <w:r>
        <w:rPr>
          <w:rFonts w:ascii="arial" w:eastAsia="arial" w:hAnsi="arial" w:cs="arial"/>
          <w:b w:val="0"/>
          <w:i w:val="0"/>
          <w:strike w:val="0"/>
          <w:noProof w:val="0"/>
          <w:color w:val="000000"/>
          <w:position w:val="0"/>
          <w:sz w:val="20"/>
          <w:u w:val="none"/>
          <w:vertAlign w:val="baseline"/>
        </w:rPr>
        <w:t xml:space="preserve"> means an institution that is eligible to receive assistance under sections 316 through 320 of part A of title III, under part B of title III, or under title V of the Higher Education Act of 1965, as amended (HEA).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 college</w:t>
      </w:r>
      <w:r>
        <w:rPr>
          <w:rFonts w:ascii="arial" w:eastAsia="arial" w:hAnsi="arial" w:cs="arial"/>
          <w:b w:val="0"/>
          <w:i w:val="0"/>
          <w:strike w:val="0"/>
          <w:noProof w:val="0"/>
          <w:color w:val="000000"/>
          <w:position w:val="0"/>
          <w:sz w:val="20"/>
          <w:u w:val="none"/>
          <w:vertAlign w:val="baseline"/>
        </w:rPr>
        <w:t xml:space="preserve"> means an institution that meets the definition in section 312(f) of the HEA </w:t>
      </w:r>
      <w:hyperlink r:id="rId11" w:history="1">
        <w:r>
          <w:rPr>
            <w:rFonts w:ascii="arial" w:eastAsia="arial" w:hAnsi="arial" w:cs="arial"/>
            <w:b w:val="0"/>
            <w:i/>
            <w:strike w:val="0"/>
            <w:noProof w:val="0"/>
            <w:color w:val="0077CC"/>
            <w:position w:val="0"/>
            <w:sz w:val="20"/>
            <w:u w:val="single"/>
            <w:vertAlign w:val="baseline"/>
          </w:rPr>
          <w:t>(20 U.S.C. 1058</w:t>
        </w:r>
      </w:hyperlink>
      <w:r>
        <w:rPr>
          <w:rFonts w:ascii="arial" w:eastAsia="arial" w:hAnsi="arial" w:cs="arial"/>
          <w:b w:val="0"/>
          <w:i w:val="0"/>
          <w:strike w:val="0"/>
          <w:noProof w:val="0"/>
          <w:color w:val="000000"/>
          <w:position w:val="0"/>
          <w:sz w:val="20"/>
          <w:u w:val="none"/>
          <w:vertAlign w:val="baseline"/>
        </w:rPr>
        <w:t xml:space="preserve">(f)); or an institution of higher education (as defined in section 101 of the HEA </w:t>
      </w:r>
      <w:hyperlink r:id="rId12" w:history="1">
        <w:r>
          <w:rPr>
            <w:rFonts w:ascii="arial" w:eastAsia="arial" w:hAnsi="arial" w:cs="arial"/>
            <w:b w:val="0"/>
            <w:i/>
            <w:strike w:val="0"/>
            <w:noProof w:val="0"/>
            <w:color w:val="0077CC"/>
            <w:position w:val="0"/>
            <w:sz w:val="20"/>
            <w:u w:val="single"/>
            <w:vertAlign w:val="baseline"/>
          </w:rPr>
          <w:t>(20 U.S.C. 1001))</w:t>
        </w:r>
      </w:hyperlink>
      <w:r>
        <w:rPr>
          <w:rFonts w:ascii="arial" w:eastAsia="arial" w:hAnsi="arial" w:cs="arial"/>
          <w:b w:val="0"/>
          <w:i w:val="0"/>
          <w:strike w:val="0"/>
          <w:noProof w:val="0"/>
          <w:color w:val="000000"/>
          <w:position w:val="0"/>
          <w:sz w:val="20"/>
          <w:u w:val="none"/>
          <w:vertAlign w:val="baseline"/>
        </w:rPr>
        <w:t xml:space="preserve"> that awards degrees and certificates, more than 50 percent of which are not bachelor's degrees (or an equivalent).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 applicant</w:t>
      </w:r>
      <w:r>
        <w:rPr>
          <w:rFonts w:ascii="arial" w:eastAsia="arial" w:hAnsi="arial" w:cs="arial"/>
          <w:b w:val="0"/>
          <w:i w:val="0"/>
          <w:strike w:val="0"/>
          <w:noProof w:val="0"/>
          <w:color w:val="000000"/>
          <w:position w:val="0"/>
          <w:sz w:val="20"/>
          <w:u w:val="none"/>
          <w:vertAlign w:val="baseline"/>
        </w:rPr>
        <w:t xml:space="preserve"> means any applicant who has not received a discretionary grant from the Department of Education under a program authorized by title VI of the HEA or the Fulbright-Hays Act for five years prior to the deadline date for applications under this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22 U.S.C. 2452</w:t>
        </w:r>
      </w:hyperlink>
      <w:r>
        <w:rPr>
          <w:rFonts w:ascii="arial" w:eastAsia="arial" w:hAnsi="arial" w:cs="arial"/>
          <w:b w:val="0"/>
          <w:i w:val="0"/>
          <w:strike w:val="0"/>
          <w:noProof w:val="0"/>
          <w:color w:val="000000"/>
          <w:position w:val="0"/>
          <w:sz w:val="20"/>
          <w:u w:val="none"/>
          <w:vertAlign w:val="baseline"/>
        </w:rPr>
        <w:t>(b)(6).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3485. (c) The Uniform Administrative Requirements, Cost Principles, and Audit Requirements for Federal Awards in 2 CFR part 200, as adopted and amended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664. (e) The notice of final priorities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24, 2010 </w:t>
      </w:r>
      <w:hyperlink r:id="rId10" w:history="1">
        <w:r>
          <w:rPr>
            <w:rFonts w:ascii="arial" w:eastAsia="arial" w:hAnsi="arial" w:cs="arial"/>
            <w:b w:val="0"/>
            <w:i/>
            <w:strike w:val="0"/>
            <w:noProof w:val="0"/>
            <w:color w:val="0077CC"/>
            <w:position w:val="0"/>
            <w:sz w:val="20"/>
            <w:u w:val="single"/>
            <w:vertAlign w:val="baseline"/>
          </w:rPr>
          <w:t>(75 FR 59050).</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$ 1,361,000.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$ 50,000--$ 125,000.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80,059.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$ 125,000 for a single budget period of 18 months. The Assistant Secretary for Postsecondary Education may change the maximum award through a notice published in the </w:t>
      </w:r>
      <w:r>
        <w:rPr>
          <w:rFonts w:ascii="arial" w:eastAsia="arial" w:hAnsi="arial" w:cs="arial"/>
          <w:b/>
          <w:i w:val="0"/>
          <w:strike w:val="0"/>
          <w:noProof w:val="0"/>
          <w:color w:val="000000"/>
          <w:position w:val="0"/>
          <w:sz w:val="20"/>
          <w:u w:val="none"/>
          <w:vertAlign w:val="baseline"/>
        </w:rPr>
        <w:t>Federal Register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18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(1) IHEs, (2) State departments of education, (3) Private nonprofit educational organizations, and (4) Consortia of these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4"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5"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6"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request an application from ED Pubs, be sure to identify this program as follows: CFDA number 84.021A.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is where you, the applicant, address the selection criteria that reviewers use to evaluate your application. You must limit the application narrative (Part III) to no more than 40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Double space (no more than three lines per vertical inch) all text in the application narrative,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titles, headings, footnotes, quotations, references, and captions. Charts, tables, figures, and graphs in the application narrative may be single spaced and will count toward the page limit.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 However, you may use a 10-point font in charts, tables, figures, and graphs.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and Arial Narrow) will not be accepted.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40-page limit does not apply to Part I, the Application for Federal Assistance face sheet (SF 424); the </w:t>
      </w:r>
      <w:r>
        <w:rPr>
          <w:rFonts w:ascii="arial" w:eastAsia="arial" w:hAnsi="arial" w:cs="arial"/>
          <w:b/>
          <w:i w:val="0"/>
          <w:strike w:val="0"/>
          <w:noProof w:val="0"/>
          <w:color w:val="000000"/>
          <w:position w:val="0"/>
          <w:sz w:val="20"/>
          <w:u w:val="none"/>
          <w:vertAlign w:val="baseline"/>
        </w:rPr>
        <w:t> [*8857] </w:t>
      </w:r>
      <w:r>
        <w:rPr>
          <w:rFonts w:ascii="arial" w:eastAsia="arial" w:hAnsi="arial" w:cs="arial"/>
          <w:b w:val="0"/>
          <w:i w:val="0"/>
          <w:strike w:val="0"/>
          <w:noProof w:val="0"/>
          <w:color w:val="000000"/>
          <w:position w:val="0"/>
          <w:sz w:val="20"/>
          <w:u w:val="none"/>
          <w:vertAlign w:val="baseline"/>
        </w:rPr>
        <w:t xml:space="preserve"> supplemental information form required by the Department of Education; Part II, Budget Information--Non-Construction Programs (ED 524); Part IV, assurances, certifications, and the response to section 427 of the General Education Provisions Act (GEPA); the table of contents; the one-page project abstract; the appendices; or the line-item budget. However, the page limit does apply to all of the application narrative (Part III). If you include any attachments or appendices not specifically requested, these items will be counted as part of the application narrative for purposes of the page-limit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19,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specify unallowable costs in 34 CFR 664.33. 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2-5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7"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18"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19"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Fulbright-Hays GPA Program, CFDA number 84.021A, must be submitted electronically using the Governmentwide Grants.gov Apply site at </w:t>
      </w:r>
      <w:hyperlink r:id="rId14"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and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Fulbright-Hays GPA Program at </w:t>
      </w:r>
      <w:hyperlink r:id="rId14"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84.021, not 84.021A).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w:t>
      </w:r>
      <w:r>
        <w:rPr>
          <w:rFonts w:ascii="arial" w:eastAsia="arial" w:hAnsi="arial" w:cs="arial"/>
          <w:b/>
          <w:i w:val="0"/>
          <w:strike w:val="0"/>
          <w:noProof w:val="0"/>
          <w:color w:val="000000"/>
          <w:position w:val="0"/>
          <w:sz w:val="20"/>
          <w:u w:val="none"/>
          <w:vertAlign w:val="baseline"/>
        </w:rPr>
        <w:t> [*8858] </w:t>
      </w:r>
      <w:r>
        <w:rPr>
          <w:rFonts w:ascii="arial" w:eastAsia="arial" w:hAnsi="arial" w:cs="arial"/>
          <w:b w:val="0"/>
          <w:i w:val="0"/>
          <w:strike w:val="0"/>
          <w:noProof w:val="0"/>
          <w:color w:val="000000"/>
          <w:position w:val="0"/>
          <w:sz w:val="20"/>
          <w:u w:val="none"/>
          <w:vertAlign w:val="baseline"/>
        </w:rPr>
        <w:t xml:space="preserv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program to ensure that you submit your application in a timely manner to the Grants.gov system. You can also find the Education Submission Procedures pertaining to Grants.gov under News and Events on the Department's G5 system home page at </w:t>
      </w:r>
      <w:hyperlink r:id="rId20"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for Fulbright-Hays GPA Short-Term Projects (CFDA 84.021A) to: Reha Mallory, Fulbright-Hays Group Projects Abroad Program, U.S. Department of Education, 1990 K Street NW., room 6100, Washington, DC 20006-8521. FAX: (202) 502-7675.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84.021A),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 private metered postmark. </w:t>
      </w:r>
      <w:r>
        <w:rPr>
          <w:rFonts w:ascii="arial" w:eastAsia="arial" w:hAnsi="arial" w:cs="arial"/>
          <w:b/>
          <w:i w:val="0"/>
          <w:strike w:val="0"/>
          <w:noProof w:val="0"/>
          <w:color w:val="000000"/>
          <w:position w:val="0"/>
          <w:sz w:val="20"/>
          <w:u w:val="none"/>
          <w:vertAlign w:val="baseline"/>
        </w:rPr>
        <w:t> [*8859]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84.021A),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General Information:</w:t>
      </w:r>
      <w:r>
        <w:rPr>
          <w:rFonts w:ascii="arial" w:eastAsia="arial" w:hAnsi="arial" w:cs="arial"/>
          <w:b w:val="0"/>
          <w:i w:val="0"/>
          <w:strike w:val="0"/>
          <w:noProof w:val="0"/>
          <w:color w:val="000000"/>
          <w:position w:val="0"/>
          <w:sz w:val="20"/>
          <w:u w:val="none"/>
          <w:vertAlign w:val="baseline"/>
        </w:rPr>
        <w:t xml:space="preserve"> For FY 2015, short-term project applications will be reviewed by separate panels according to world area. Each panel reviews, scores, and ranks its applications separately from the applications assigned to the other world area panels. However, all applications will be ranked against each other from the highest to the lowest score for funding purposes. A rank order from highest to lowest score will be developed and will be used for funding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34 CFR 664.31 and are as follows: (a) Plan of operation (20 points); (b) Quality of key personnel (10 points); (c) Budget and cost effectiveness (10 points); (d) Evaluation plan (20 points); (e) Adequacy of resources (5 points); (f) Potential impact of the project on the development of the study of modern foreign languages and area studies in American education (15 points); (g) The project's relevance to the applicant's educational goals and its relationship to its program development in modern foreign languages and area studies (5 points); and (h) The extent to which direct experience abroad is necessary to achieve the project's objectives and the effectiveness with which relevant host country resources will be utilized (10 points). Additional information about these criteria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Grantees are required to use the electronic data instrument International Resource Information System (IRIS) to complete the final report. The Secretary may also require more frequent performance reports under 34 CFR 75.720(c). For specific requirements on reporting, please go to </w:t>
      </w:r>
      <w:hyperlink r:id="rId21"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the following measures will be used by the Department to evaluate the success of the GPA short-term program: percentage of GPA participants who disseminated information about or materials from their group project abroad through more than one outreach activity within six months of returning to their home institution.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provided by grantees in their performance reports submitted via IRIS will be the source of data for this measure. Reporting screens for institutions can be viewed at: </w:t>
      </w:r>
      <w:hyperlink r:id="rId22" w:history="1">
        <w:r>
          <w:rPr>
            <w:rFonts w:ascii="arial" w:eastAsia="arial" w:hAnsi="arial" w:cs="arial"/>
            <w:b w:val="0"/>
            <w:i/>
            <w:strike w:val="0"/>
            <w:noProof w:val="0"/>
            <w:color w:val="0077CC"/>
            <w:position w:val="0"/>
            <w:sz w:val="20"/>
            <w:u w:val="single"/>
            <w:vertAlign w:val="baseline"/>
          </w:rPr>
          <w:t>http://iris.ed.gov/iris/pdfs/gpa_director.pdf</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http://iris.ed.gov/iris/pdfs/gpa_participant.pdf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Reha Mallory, Fulbright-Hays Group Projects Abroad Program, U.S. Department of Education, 1990 K Street NW., Room 6100, Washington, DC 20006-8521. Telephone: (202) 502-7605 or by email: </w:t>
      </w:r>
      <w:hyperlink r:id="rId24" w:history="1">
        <w:r>
          <w:rPr>
            <w:rFonts w:ascii="arial" w:eastAsia="arial" w:hAnsi="arial" w:cs="arial"/>
            <w:b w:val="0"/>
            <w:i/>
            <w:strike w:val="0"/>
            <w:noProof w:val="0"/>
            <w:color w:val="0077CC"/>
            <w:position w:val="0"/>
            <w:sz w:val="20"/>
            <w:u w:val="single"/>
            <w:vertAlign w:val="baseline"/>
          </w:rPr>
          <w:t>reha.mallory@ed.gov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8855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138-DJB0-006W-83JW-00000-00&amp;context=" TargetMode="External" /><Relationship Id="rId11" Type="http://schemas.openxmlformats.org/officeDocument/2006/relationships/hyperlink" Target="https://advance.lexis.com/api/document?collection=statutes-legislation&amp;id=urn:contentItem:4YF7-GV01-NRF4-41XD-00000-00&amp;context=" TargetMode="External" /><Relationship Id="rId12" Type="http://schemas.openxmlformats.org/officeDocument/2006/relationships/hyperlink" Target="https://advance.lexis.com/api/document?collection=statutes-legislation&amp;id=urn:contentItem:4YF7-GSD1-NRF4-425W-00000-00&amp;context=" TargetMode="External" /><Relationship Id="rId13" Type="http://schemas.openxmlformats.org/officeDocument/2006/relationships/hyperlink" Target="https://advance.lexis.com/api/document?collection=statutes-legislation&amp;id=urn:contentItem:4YF7-GW91-NRF4-44PV-00000-00&amp;context=" TargetMode="External" /><Relationship Id="rId14" Type="http://schemas.openxmlformats.org/officeDocument/2006/relationships/hyperlink" Target="www.Grants.gov" TargetMode="External" /><Relationship Id="rId15" Type="http://schemas.openxmlformats.org/officeDocument/2006/relationships/hyperlink" Target="www.EDPubs.gov" TargetMode="External" /><Relationship Id="rId16" Type="http://schemas.openxmlformats.org/officeDocument/2006/relationships/hyperlink" Target="mailto:edpubs@inet.ed.gov" TargetMode="External" /><Relationship Id="rId17" Type="http://schemas.openxmlformats.org/officeDocument/2006/relationships/hyperlink" Target="www.SAM.gov" TargetMode="External" /><Relationship Id="rId18" Type="http://schemas.openxmlformats.org/officeDocument/2006/relationships/hyperlink" Target="http://www2.ed.gov/fund/grant/apply/sam-faqs.html" TargetMode="External" /><Relationship Id="rId19" Type="http://schemas.openxmlformats.org/officeDocument/2006/relationships/hyperlink" Target="www.grants.gov/web/grants/register.html" TargetMode="External" /><Relationship Id="rId2" Type="http://schemas.openxmlformats.org/officeDocument/2006/relationships/webSettings" Target="webSettings.xml" /><Relationship Id="rId20" Type="http://schemas.openxmlformats.org/officeDocument/2006/relationships/hyperlink" Target="www.G5.gov" TargetMode="External" /><Relationship Id="rId21" Type="http://schemas.openxmlformats.org/officeDocument/2006/relationships/hyperlink" Target="www.ed.gov/fund/grant/apply/appforms/appforms.html" TargetMode="External" /><Relationship Id="rId22" Type="http://schemas.openxmlformats.org/officeDocument/2006/relationships/hyperlink" Target="http://iris.ed.gov/iris/pdfs/gpa_director.pdf" TargetMode="External" /><Relationship Id="rId23" Type="http://schemas.openxmlformats.org/officeDocument/2006/relationships/hyperlink" Target="http://iris.ed.gov/iris/pdfs/gpa_participant.pdf" TargetMode="External" /><Relationship Id="rId24" Type="http://schemas.openxmlformats.org/officeDocument/2006/relationships/hyperlink" Target="mailto:reha.mallory@ed.gov" TargetMode="Externa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BC-6KJ0-006W-83W0-00000-00&amp;context=" TargetMode="External" /><Relationship Id="rId8" Type="http://schemas.openxmlformats.org/officeDocument/2006/relationships/hyperlink" Target="www.gpo.gov/fdsys" TargetMode="External" /><Relationship Id="rId9" Type="http://schemas.openxmlformats.org/officeDocument/2006/relationships/hyperlink" Target="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17545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71569843</vt:lpwstr>
  </property>
  <property fmtid="{D5CDD505-2E9C-101B-9397-08002B2CF9AE}" pid="3" name="LADocCount">
    <vt:lpwstr>1</vt:lpwstr>
  </property>
  <property fmtid="{D5CDD505-2E9C-101B-9397-08002B2CF9AE}" pid="4" name="UserPermID">
    <vt:lpwstr>urn:user:PA185916758</vt:lpwstr>
  </property>
</Properties>
</file>