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10223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039, Monday, February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10223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Educational Technology, Media, and Materials for Individuals with Disabilities--Stepping-up Technology Implementation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Educational Technology, Media, and Materials for Individuals with Disabilities--Stepping-up Technology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84.327S.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Potomac Center Plaza,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2016-04338 Filed 2-26-16;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February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April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June 13,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the Educational Technology, Media, and Materials for Individuals with Disabilities Program are to: (1) improve results for students with disabilities by promoting the development, demonstration, and use of technology; (2) support educational activities designed to be of educational value in the classroom for students with disabilities; (3) provide support for captioning and video description that is appropriate for use in the classroom; and (4) provide accessible educational materials to students with disabilities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one absolute priority and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accordance with 34 CFR 75.105(b)(2)(v), the absolute priority is from allowable activities specified in the statute (see sections 674 and 681(d) of the Individuals with Disabilities Education Act (IDEA) </w:t>
      </w:r>
      <w:hyperlink r:id="rId10"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accordance with 34 CFR 75.105(b)(2)(ii),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34 CFR 75.226.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 Technology, Media, and Materials for Individuals with Disabilities--Stepping-up Technology Implementation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cooperative agreements to: (a) Identify strategies needed to effectively implement evidence-based technology tools n1 that benefit students with disabilities; and (b) develop and disseminate products n2 that will help a broad range of schools and early intervention programs to effectively implement these technology tools. As Congress recognized in IDEA, "almost 30 years of research and experience has demonstrated that the education of children with disabilities can be made more effective by . . . supporting the development and use of technology, including assistive technology devices and assistive technology services, to maximize accessibility for children with disabilities" (section 601(c)(5)(H)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the purposes of this priority, "technology tools" may include, but are not limited to, digital math text readers for students with visual impairment, reading software to improve literacy and communication development, text-to-speech software to improve reading performance, infant stimulation tools, and other technology tools. These tools must assist or otherwise benefit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the purposes of this priority, "products" may include, but are not limited to, instruction manuals, lesson plans, demonstration videos, ancillary instructional materials, and professional development modules such as collaborative groups, coaching, mentoring, or online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technology, including assistive technology devices and assistive technology services, enhances instruction and access to the general education curriculum. Technology can be the great equalizer in a classroom for students with disabilities. Educators often face major obstacles when it comes to engaging and motivating students who struggle with the general education curriculum. Innovative technology tools, programs, and software can be used to promote engagement and enhance the learning experience (Brunvand &amp; Byrd, 2011). Additionally, the development of newer technologies for, and their presence in, early childhood education settings is rapidly increasing. When media-rich content is integrated into the curriculum and supported with adult guidance, </w:t>
      </w:r>
      <w:r>
        <w:rPr>
          <w:rFonts w:ascii="arial" w:eastAsia="arial" w:hAnsi="arial" w:cs="arial"/>
          <w:b/>
          <w:i w:val="0"/>
          <w:strike w:val="0"/>
          <w:noProof w:val="0"/>
          <w:color w:val="000000"/>
          <w:position w:val="0"/>
          <w:sz w:val="20"/>
          <w:u w:val="none"/>
          <w:vertAlign w:val="baseline"/>
        </w:rPr>
        <w:t> [*10224] </w:t>
      </w:r>
      <w:r>
        <w:rPr>
          <w:rFonts w:ascii="arial" w:eastAsia="arial" w:hAnsi="arial" w:cs="arial"/>
          <w:b w:val="0"/>
          <w:i w:val="0"/>
          <w:strike w:val="0"/>
          <w:noProof w:val="0"/>
          <w:color w:val="000000"/>
          <w:position w:val="0"/>
          <w:sz w:val="20"/>
          <w:u w:val="none"/>
          <w:vertAlign w:val="baseline"/>
        </w:rPr>
        <w:t xml:space="preserve"> technology experiences for young children are associated with better language, literacy, and mathematics outcomes. Additionally, technology integration in early childhood settings has been linked to increased social awareness and collaborative behaviors, improved abstract reasoning and problem solving abilities, and enhanced visual-motor coordination (McManis &amp; Gunnewig,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Technologies can also offer opportunities to support State educational agencies' (SEAs') and local educational agencies' (LEAs') Elementary and Secondary Education Act (ESEA) flexibility plans by: (a) improving student learning and engagement; (b) accommodating the special needs of students; (c) facilitating student and teacher access to digital content and resources; n3 and (d) improving the quality of instruction through personalized learning and data (Duffey &amp; Fox, 2012; Fletcher, Schaffhauser, &amp; Levi, 2012; U.S. Department of Education,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the purposes of this priority, "resources" include, but are not limited to, school leadership support, professional development support to school staff, and a plan for integrating technology into the classroom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potential benefits in using technology to improve learning outcomes, research suggests that implementation can be a significant challenge. For example, data from a survey of more than 1,000 kindergarten through grade 12 (K-12) teachers, principals, and assistant principals indicated that simply providing teachers with technology does not ensure that it will be used (Grunwald &amp; Associates, 2010). Additionally, Perlman and Redding (2011) found that in order to be used most effectively, technology must be implemented in ways that align with curricular and teacher goals and must offer students opportunities to use these tools in their learning. Even as schools have started to deliver coursework online, and the number of students involved in online learning has grown, many of these online learning technologies have not been designed to be accessible to students with disabilities (Center on Online Learning and Students with Disabilities, 2012). These findings demonstrate a need for products and resources that can ensure technology tools for students with disabilities are implemented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1998, the Office of Special Education Programs (OSEP) has supported technology and media service projects through the Steppingstones of Technology Innovation for Children with Disabilities (Steppingstones) program. The projects funded under the Steppingstones program developed and evaluated numerous innovative technology tools designed to improve results for children with disabilities in areas such as Web-based learning and assessment materials, instructional software, assistive technology devices, methods for using off-the-shelf hardware and software to improve learning, and methods for integrating technology into instruction. The Stepping-up Technology Implementation program is building on the technology development efforts under the Steppingstones program by identifying, developing, and disseminating products and resources that promote the effective implementation n4 of evidence-based instructional and assistive technology tools in early childhood or K-12 settings.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In this context, "effective implementation" means "making better use of research findings in typical service settings through the use of processes and activities (such as accountable implementation teams) that are purposeful and described in sufficient detail such that independent observers can detect the presence and strength of these processes and activities" (Fixsen, Naoom, Blase, Friedman, &amp; Wallace,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For the purposes of this priority, "settings" include any place where instruction or intervention occurs, such as general education classrooms, special education classrooms, early childhood settings, or natural environments for infants and toddlers.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cooperative agreements to: (a) Identify strategies needed to effectively implement evidence-based technology tools that benefit students with disabilities; and (b) develop and disseminate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instruction manuals, lesson plans, demonstration videos, ancillary instructional materials) that will help early childhood or K-12 settings to effectively implement these technology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this absolute priority, applicants must meet the application requirements. Any project funded under this priority must also meet the programmatic and administrative requirements specified in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An applicant must include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project design supported by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logic model (as defined in this notice) or conceptual framework that depicts at a minimum, the goals, activities, outputs, and outcomes of the proposed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Web sites provide more information on logic models: </w:t>
      </w:r>
      <w:hyperlink r:id="rId11" w:history="1">
        <w:r>
          <w:rPr>
            <w:rFonts w:ascii="arial" w:eastAsia="arial" w:hAnsi="arial" w:cs="arial"/>
            <w:b w:val="0"/>
            <w:i/>
            <w:strike w:val="0"/>
            <w:noProof w:val="0"/>
            <w:color w:val="0077CC"/>
            <w:position w:val="0"/>
            <w:sz w:val="20"/>
            <w:u w:val="single"/>
            <w:vertAlign w:val="baseline"/>
          </w:rPr>
          <w:t>www.researchutilization.org/matrix/logicmodel_resource3c.html</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www.osepideasthatwork.org/logicModel/index.asp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 plan to implement the activities described in the </w:t>
      </w:r>
      <w:r>
        <w:rPr>
          <w:rFonts w:ascii="arial" w:eastAsia="arial" w:hAnsi="arial" w:cs="arial"/>
          <w:b w:val="0"/>
          <w:i/>
          <w:strike w:val="0"/>
          <w:noProof w:val="0"/>
          <w:color w:val="000000"/>
          <w:position w:val="0"/>
          <w:sz w:val="20"/>
          <w:u w:val="none"/>
          <w:vertAlign w:val="baseline"/>
        </w:rPr>
        <w:t>Project Activities</w:t>
      </w:r>
      <w:r>
        <w:rPr>
          <w:rFonts w:ascii="arial" w:eastAsia="arial" w:hAnsi="arial" w:cs="arial"/>
          <w:b w:val="0"/>
          <w:i w:val="0"/>
          <w:strike w:val="0"/>
          <w:noProof w:val="0"/>
          <w:color w:val="000000"/>
          <w:position w:val="0"/>
          <w:sz w:val="20"/>
          <w:u w:val="none"/>
          <w:vertAlign w:val="baseline"/>
        </w:rPr>
        <w:t xml:space="preserve"> section of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plan, linked to the proposed project's logic model, for a formative evaluation of the proposed project's activities. The plan must describe how the formative evaluation will use clear performance objectives to ensure continuous improvement in the operation of the proposed project, including objective measures of progress in implementing the project and ensuring the quality of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Documentation that the technology tool is evidence-based (as defined in this notice) and that it can be implemented to improve early childhood outcomes, academic achievement, and college- and career-readiness.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plan for recruiting and selecting n6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For more information on recruiting and selecting sites, refer to Assessing Sites for Model Demonstration: Lessons Learned from OSEP Grantees at </w:t>
      </w:r>
      <w:hyperlink r:id="rId13" w:history="1">
        <w:r>
          <w:rPr>
            <w:rFonts w:ascii="arial" w:eastAsia="arial" w:hAnsi="arial" w:cs="arial"/>
            <w:b w:val="0"/>
            <w:i/>
            <w:strike w:val="0"/>
            <w:noProof w:val="0"/>
            <w:color w:val="0077CC"/>
            <w:position w:val="0"/>
            <w:sz w:val="20"/>
            <w:u w:val="single"/>
            <w:vertAlign w:val="baseline"/>
          </w:rPr>
          <w:t>http://mdcc.sri.com/documents/reports/MDCC_Site_Assessment_Brief_09-30-11.pdf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Three development schools. Development schools are the sites in which iterative development n7 of the implementation of evidence-based technology tools and products will occur. The project must start implementing the technology tool with one development school in year one of the project period and two additional development schools in year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For the purposes of this priority, "iterative development" refers to a process of testing, systematically securing feedback, and then revising the educational intervention that leads to revisions in the intervention to increase the likelihood that it will be implemented with fidelity (Diamond &amp; Powell,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Four pilot schools. Pilot schools are the sites in which try-out, formative evaluation, and refinement of technology tools and products will occur. The project must work with the four pilot schools during years three and four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Ten dissemination schools. Dissemination schools will be selected if the project is extended for a fifth year. Dissemination schools will be used to conduct the final test of the effectiveness of the products and the final opportunity for the project to refine the tools and products for use by teachers, but will receive less technical assistance (TA) from the project than the development or pilot schools. Also, at this stage, dissemination schools will extend the benefits of the technology tool to additional students. To be </w:t>
      </w:r>
      <w:r>
        <w:rPr>
          <w:rFonts w:ascii="arial" w:eastAsia="arial" w:hAnsi="arial" w:cs="arial"/>
          <w:b/>
          <w:i w:val="0"/>
          <w:strike w:val="0"/>
          <w:noProof w:val="0"/>
          <w:color w:val="000000"/>
          <w:position w:val="0"/>
          <w:sz w:val="20"/>
          <w:u w:val="none"/>
          <w:vertAlign w:val="baseline"/>
        </w:rPr>
        <w:t> [*10225] </w:t>
      </w:r>
      <w:r>
        <w:rPr>
          <w:rFonts w:ascii="arial" w:eastAsia="arial" w:hAnsi="arial" w:cs="arial"/>
          <w:b w:val="0"/>
          <w:i w:val="0"/>
          <w:strike w:val="0"/>
          <w:noProof w:val="0"/>
          <w:color w:val="000000"/>
          <w:position w:val="0"/>
          <w:sz w:val="20"/>
          <w:u w:val="none"/>
          <w:vertAlign w:val="baseline"/>
        </w:rPr>
        <w:t xml:space="preserve"> selected as a dissemination school, eligible schools and LEAs must commit to working with the project to implement the evidence-based technology tools and products. A school may not serve in more than one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development, pilot,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School site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early childhood setting; elementary, middle, or high school; persistently lowest-achieving school (as defined in this notice); high-needs school (as defined in this notice)) about the diversity of the development, pilot, and dissemination schools; student demographics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race or ethnicity, percentage of students eligible for free or reduced-price lunch); and other pertinent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 budget for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one and one-half day kick-off meeting to be held in Washington, DC, after receipt of the award, and an annual planning meeting held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three-day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Two two-day trips annually to attend Department briefings, Department-sponsored conferences, and other meetings, as requested by OSEP.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Activities.</w:t>
      </w:r>
      <w:r>
        <w:rPr>
          <w:rFonts w:ascii="arial" w:eastAsia="arial" w:hAnsi="arial" w:cs="arial"/>
          <w:b w:val="0"/>
          <w:i w:val="0"/>
          <w:strike w:val="0"/>
          <w:noProof w:val="0"/>
          <w:color w:val="000000"/>
          <w:position w:val="0"/>
          <w:sz w:val="20"/>
          <w:u w:val="none"/>
          <w:vertAlign w:val="baseline"/>
        </w:rPr>
        <w:t xml:space="preserve"> To meet the requirements of this priority, the project, at a minimum, must conduct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Recruit a minimum of three development schools in one LEA and four pilot schools across at least two LEAs in accordance with the plan proposed under paragraph (f) of the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Final site selection will be determined in consultation with the OSEP project officer following the kick-off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Identify resources and develop products to support sustained implementation of the selected technology tool. Development of the products must be an iterative process beginning in a single development school and continuing through repeated cycles of development and refinement in the other development schools, followed by a formative evaluation and further refinement in the pilot schools. The products must include, at a minimum, the following components to support implementation of the technology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instrument or method for assessing the (i) need for the technology tool, and (ii) readiness to implement it. Instruments and methods may include resource inventory checklists, school self-study guides, surveys of teacher interest, detailed descriptions of the technology tool for review by school staff, and similar approaches used singly or in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Methods and manuals to support the implementation of the technology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Professional development activities necessary for teachers to implement the technology tool with fidelity and integrate it into the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Collect and analyze data on the effect of the technology tool on early childhood development, academic achievement, or college- and career-readiness.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Collect formative and summative evaluation data from the development schools and pilot schools to refine and evaluate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If the project is extended to a fifth year, provide the products and the technology tool to no fewer than 10 dissemination schools that are not the same schools used as development and pilot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Collect summative data about the success of the products in supporting implementation of the technology tool in the dissemination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By the end of the project period, projects must provide information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products and resources that will enable other schools or programs to implement and sustain implementation of the technology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the technology tool has improved early childhood development, academic achievement, or college- and career-readiness for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strategy for disseminating the technology tool and accompanying products beyond the schools directly involved in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Cohort Collaboration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OSEP Project Officer(s) will provide coordination support among the projects. Each project funded under this priority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Participate in monthly conference call discussions to share and collaborate around implementation and specific project issues;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information bi-annually using a template that captures descriptive data on project site selection, processes for installation of technology, and the use of technology and sustainability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process of technology implementation).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Web site provides more information about implementation research: </w:t>
      </w:r>
      <w:hyperlink r:id="rId14" w:history="1">
        <w:r>
          <w:rPr>
            <w:rFonts w:ascii="arial" w:eastAsia="arial" w:hAnsi="arial" w:cs="arial"/>
            <w:b w:val="0"/>
            <w:i/>
            <w:strike w:val="0"/>
            <w:noProof w:val="0"/>
            <w:color w:val="0077CC"/>
            <w:position w:val="0"/>
            <w:sz w:val="20"/>
            <w:u w:val="single"/>
            <w:vertAlign w:val="baseline"/>
          </w:rPr>
          <w:t>http://nirn.fpg.unc.edu/learn-implementation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Fifth Year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may extend a project one year beyond 48 months to work with dissemination schools if the grantee is achieving the intended outcomes and making a positive contribution to the implementation of an evidence-based technology tool in the development and pilot schools. Each applicant must include in its application a plan for the full 60-month award. In deciding whether to continue funding the project for the fifth year, the Secretary will consider the requirements of 34 CFR 75.253(a), and in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review team consisting of the OSEP project officer and other experts selected by the Secretary. This review will be held during the last half of the third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and effectiveness with which all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Evidence of the degree to which the project's activities have contributed to changed practices and improved early childhood outcomes, academic achievement, or college- and career-readiness for students with disabilities.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Evidence of Promise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based upon supporting evidence of effectiveness that meets the conditions set out in the definition of "evidence of promise"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addressing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must identify no more than two study citations that meet this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Brunvand, S., &amp; Byrd, S. (2011). Using VoiceThread to promote learning engagement and success for all students. </w:t>
      </w:r>
      <w:r>
        <w:rPr>
          <w:rFonts w:ascii="arial" w:eastAsia="arial" w:hAnsi="arial" w:cs="arial"/>
          <w:b w:val="0"/>
          <w:i/>
          <w:strike w:val="0"/>
          <w:noProof w:val="0"/>
          <w:color w:val="000000"/>
          <w:position w:val="0"/>
          <w:sz w:val="20"/>
          <w:u w:val="none"/>
          <w:vertAlign w:val="baseline"/>
        </w:rPr>
        <w:t>Teaching Exceptional Children, 43</w:t>
      </w:r>
      <w:r>
        <w:rPr>
          <w:rFonts w:ascii="arial" w:eastAsia="arial" w:hAnsi="arial" w:cs="arial"/>
          <w:b w:val="0"/>
          <w:i w:val="0"/>
          <w:strike w:val="0"/>
          <w:noProof w:val="0"/>
          <w:color w:val="000000"/>
          <w:position w:val="0"/>
          <w:sz w:val="20"/>
          <w:u w:val="none"/>
          <w:vertAlign w:val="baseline"/>
        </w:rPr>
        <w:t xml:space="preserve"> (4), 28-37.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Center for Online Learning and Students with Disabilities (COLSD). (2012). The foundation of online learning for students with disabilities (COLSD White Paper). Lawrence, KS: Author. Retrieved from </w:t>
      </w:r>
      <w:hyperlink r:id="rId15" w:history="1">
        <w:r>
          <w:rPr>
            <w:rFonts w:ascii="arial" w:eastAsia="arial" w:hAnsi="arial" w:cs="arial"/>
            <w:b w:val="0"/>
            <w:i/>
            <w:strike w:val="0"/>
            <w:noProof w:val="0"/>
            <w:color w:val="0077CC"/>
            <w:position w:val="0"/>
            <w:sz w:val="20"/>
            <w:u w:val="single"/>
            <w:vertAlign w:val="baseline"/>
          </w:rPr>
          <w:t>http://centerononlinelearning.org/wp-content/uploads/Foundation_7_2012.pdf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Diamond, K.E., &amp; Powell, D.R. (2011). An iterative approach to the development of a professional development intervention for head start teachers. </w:t>
      </w:r>
      <w:r>
        <w:rPr>
          <w:rFonts w:ascii="arial" w:eastAsia="arial" w:hAnsi="arial" w:cs="arial"/>
          <w:b w:val="0"/>
          <w:i/>
          <w:strike w:val="0"/>
          <w:noProof w:val="0"/>
          <w:color w:val="000000"/>
          <w:position w:val="0"/>
          <w:sz w:val="20"/>
          <w:u w:val="none"/>
          <w:vertAlign w:val="baseline"/>
        </w:rPr>
        <w:t>Journal of Early Intervention, 33</w:t>
      </w:r>
      <w:r>
        <w:rPr>
          <w:rFonts w:ascii="arial" w:eastAsia="arial" w:hAnsi="arial" w:cs="arial"/>
          <w:b w:val="0"/>
          <w:i w:val="0"/>
          <w:strike w:val="0"/>
          <w:noProof w:val="0"/>
          <w:color w:val="000000"/>
          <w:position w:val="0"/>
          <w:sz w:val="20"/>
          <w:u w:val="none"/>
          <w:vertAlign w:val="baseline"/>
        </w:rPr>
        <w:t xml:space="preserve"> (1), 75-93.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Duffey, D., &amp; Fox, C. (2012). National Educational Technology Trends 2012: State Leadership Empower Educators, Transforming Teaching and Learning. </w:t>
      </w:r>
      <w:r>
        <w:rPr>
          <w:rFonts w:ascii="arial" w:eastAsia="arial" w:hAnsi="arial" w:cs="arial"/>
          <w:b/>
          <w:i w:val="0"/>
          <w:strike w:val="0"/>
          <w:noProof w:val="0"/>
          <w:color w:val="000000"/>
          <w:position w:val="0"/>
          <w:sz w:val="20"/>
          <w:u w:val="none"/>
          <w:vertAlign w:val="baseline"/>
        </w:rPr>
        <w:t> [*10226] </w:t>
      </w:r>
      <w:r>
        <w:rPr>
          <w:rFonts w:ascii="arial" w:eastAsia="arial" w:hAnsi="arial" w:cs="arial"/>
          <w:b w:val="0"/>
          <w:i w:val="0"/>
          <w:strike w:val="0"/>
          <w:noProof w:val="0"/>
          <w:color w:val="000000"/>
          <w:position w:val="0"/>
          <w:sz w:val="20"/>
          <w:u w:val="none"/>
          <w:vertAlign w:val="baseline"/>
        </w:rPr>
        <w:t xml:space="preserve"> Washington, DC: State Educational Technology Directors Association (SEDTA). Retrieved from </w:t>
      </w:r>
      <w:hyperlink r:id="rId16" w:history="1">
        <w:r>
          <w:rPr>
            <w:rFonts w:ascii="arial" w:eastAsia="arial" w:hAnsi="arial" w:cs="arial"/>
            <w:b w:val="0"/>
            <w:i/>
            <w:strike w:val="0"/>
            <w:noProof w:val="0"/>
            <w:color w:val="0077CC"/>
            <w:position w:val="0"/>
            <w:sz w:val="20"/>
            <w:u w:val="single"/>
            <w:vertAlign w:val="baseline"/>
          </w:rPr>
          <w:t>www.eric.ed.gov/PDFS/ED536746.pdf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Fixsen, D.L., Naoom, S.F., Blase, K.A., Friedman, R.M., &amp; Wallace, F. (2005). Implementation research: A synthesis of the literature. Tampa, FL: University of South Florida, Louis de la Parte Florida Mental Health Institute, The National Implementation Research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Fletcher, G., Schaffhauser, D. &amp; Levi, D. (2012). Out of print: Reimaging the K-12 textbook in a digital age. Washington, DC: State Educational Technology Directors Association (SEDTA). Retrieved from </w:t>
      </w:r>
      <w:hyperlink r:id="rId17" w:history="1">
        <w:r>
          <w:rPr>
            <w:rFonts w:ascii="arial" w:eastAsia="arial" w:hAnsi="arial" w:cs="arial"/>
            <w:b w:val="0"/>
            <w:i/>
            <w:strike w:val="0"/>
            <w:noProof w:val="0"/>
            <w:color w:val="0077CC"/>
            <w:position w:val="0"/>
            <w:sz w:val="20"/>
            <w:u w:val="single"/>
            <w:vertAlign w:val="baseline"/>
          </w:rPr>
          <w:t>www.setda.org/c/document_library/get_file?folderId=321&amp;name=DLFE-1587.pdf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Grunwald &amp; Associates. (2010). Educators, technology, and 21st century skills: Dispelling five myths. Retrieved from Walden University, Richard W. Riley College of Education Web site: </w:t>
      </w:r>
      <w:hyperlink r:id="rId18" w:history="1">
        <w:r>
          <w:rPr>
            <w:rFonts w:ascii="arial" w:eastAsia="arial" w:hAnsi="arial" w:cs="arial"/>
            <w:b w:val="0"/>
            <w:i/>
            <w:strike w:val="0"/>
            <w:noProof w:val="0"/>
            <w:color w:val="0077CC"/>
            <w:position w:val="0"/>
            <w:sz w:val="20"/>
            <w:u w:val="single"/>
            <w:vertAlign w:val="baseline"/>
          </w:rPr>
          <w:t>www.WaldenU.edu/fivemyths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McManis, L.D., &amp; Gunnewig, S.B. (2012). Finding the education in educational technology with early learners. </w:t>
      </w:r>
      <w:r>
        <w:rPr>
          <w:rFonts w:ascii="arial" w:eastAsia="arial" w:hAnsi="arial" w:cs="arial"/>
          <w:b w:val="0"/>
          <w:i/>
          <w:strike w:val="0"/>
          <w:noProof w:val="0"/>
          <w:color w:val="000000"/>
          <w:position w:val="0"/>
          <w:sz w:val="20"/>
          <w:u w:val="none"/>
          <w:vertAlign w:val="baseline"/>
        </w:rPr>
        <w:t>Young Children, 67</w:t>
      </w:r>
      <w:r>
        <w:rPr>
          <w:rFonts w:ascii="arial" w:eastAsia="arial" w:hAnsi="arial" w:cs="arial"/>
          <w:b w:val="0"/>
          <w:i w:val="0"/>
          <w:strike w:val="0"/>
          <w:noProof w:val="0"/>
          <w:color w:val="000000"/>
          <w:position w:val="0"/>
          <w:sz w:val="20"/>
          <w:u w:val="none"/>
          <w:vertAlign w:val="baseline"/>
        </w:rPr>
        <w:t xml:space="preserve"> (3), 14-24.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Perlman, C.L., &amp; Redding, S. (Eds.). (2011). Choosing and implementing technology wisely. Handbook on Effective Implementation of School Improvement Grants. Lincoln, IL: Academic Development Institute. Retrieved from </w:t>
      </w:r>
      <w:hyperlink r:id="rId19" w:history="1">
        <w:r>
          <w:rPr>
            <w:rFonts w:ascii="arial" w:eastAsia="arial" w:hAnsi="arial" w:cs="arial"/>
            <w:b w:val="0"/>
            <w:i/>
            <w:strike w:val="0"/>
            <w:noProof w:val="0"/>
            <w:color w:val="0077CC"/>
            <w:position w:val="0"/>
            <w:sz w:val="20"/>
            <w:u w:val="single"/>
            <w:vertAlign w:val="baseline"/>
          </w:rPr>
          <w:t>www.centerii.org/handbook</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Office of Educational Technology. (2010). Transforming American Education: Learning Powered by Technology. Washington, DC: Author. Retrieved from </w:t>
      </w:r>
      <w:hyperlink r:id="rId20" w:history="1">
        <w:r>
          <w:rPr>
            <w:rFonts w:ascii="arial" w:eastAsia="arial" w:hAnsi="arial" w:cs="arial"/>
            <w:b w:val="0"/>
            <w:i/>
            <w:strike w:val="0"/>
            <w:noProof w:val="0"/>
            <w:color w:val="0077CC"/>
            <w:position w:val="0"/>
            <w:sz w:val="20"/>
            <w:u w:val="single"/>
            <w:vertAlign w:val="baseline"/>
          </w:rPr>
          <w:t>www.ed.gov/sites/default/files/netp2010.pdf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definitions are from 34 CFR 77.1 and the Department's notice of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21"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as marked.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are from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High-needs school</w:t>
      </w:r>
      <w:r>
        <w:rPr>
          <w:rFonts w:ascii="arial" w:eastAsia="arial" w:hAnsi="arial" w:cs="arial"/>
          <w:b w:val="0"/>
          <w:i w:val="0"/>
          <w:strike w:val="0"/>
          <w:noProof w:val="0"/>
          <w:color w:val="000000"/>
          <w:position w:val="0"/>
          <w:sz w:val="20"/>
          <w:u w:val="none"/>
          <w:vertAlign w:val="baseline"/>
        </w:rPr>
        <w:t xml:space="preserve"> means a Title I school that has a subgroup or subgroups with low achievement or, at the high school level, low graduation rates ("low-achieving subgroup" high-needs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that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22"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are from the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Persistently lowest-achieving school</w:t>
      </w:r>
      <w:r>
        <w:rPr>
          <w:rFonts w:ascii="arial" w:eastAsia="arial" w:hAnsi="arial" w:cs="arial"/>
          <w:b w:val="0"/>
          <w:i w:val="0"/>
          <w:strike w:val="0"/>
          <w:noProof w:val="0"/>
          <w:color w:val="000000"/>
          <w:position w:val="0"/>
          <w:sz w:val="20"/>
          <w:u w:val="none"/>
          <w:vertAlign w:val="baseline"/>
        </w:rPr>
        <w:t xml:space="preserve"> means,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Any Title I school that has been identified for improvement, corrective action, or restructuring under section 1116 of the Elementary and Secondary Education Act of 1965, as amended (ESEA)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Title I schools in improvement, corrective action, or restructuring or the lowest-achieving five Title I schools in improvement, corrective action, or restructuring in the State, whichever number of schools is greater;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a high school that has had a graduation rate, as defined in 34 CFR 200.19(b), that is less than 60 percent over a number of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secondary school that is eligible for, but does not receive, Title I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secondary schools or the lowest-achieving five secondary schools in the State that are eligible for, but do not receive, Title I funds, whichever number of schools is greater;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a high school that has had a graduation rate, as defined in 34 CFR 200.19(b), that is less than 60 percent over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identify the lowest-achieving schools, a State must take into account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academic achievement of the "all students" group in a school in terms of proficiency on the State's assessments under section 1111(b)(3) of the Elementary and Secondary Education Act of 1965, as amended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school's lack of progress on those assessments over a number of years in the "all students"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schools</w:t>
      </w:r>
      <w:r>
        <w:rPr>
          <w:rFonts w:ascii="arial" w:eastAsia="arial" w:hAnsi="arial" w:cs="arial"/>
          <w:b w:val="0"/>
          <w:i w:val="0"/>
          <w:strike w:val="0"/>
          <w:noProof w:val="0"/>
          <w:color w:val="000000"/>
          <w:position w:val="0"/>
          <w:sz w:val="20"/>
          <w:u w:val="none"/>
          <w:vertAlign w:val="baseline"/>
        </w:rPr>
        <w:t xml:space="preserve"> means schools that, based on the most recent data available, have been identified as among the lowest-performing schools in the State. The total number of priority schools in a State must be at least five percent of the Title I schools in the State. A priority school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 school among the lowest five percent of Title I schools in the State based on the achievement of the "all students" group in terms of proficiency </w:t>
      </w:r>
      <w:r>
        <w:rPr>
          <w:rFonts w:ascii="arial" w:eastAsia="arial" w:hAnsi="arial" w:cs="arial"/>
          <w:b/>
          <w:i w:val="0"/>
          <w:strike w:val="0"/>
          <w:noProof w:val="0"/>
          <w:color w:val="000000"/>
          <w:position w:val="0"/>
          <w:sz w:val="20"/>
          <w:u w:val="none"/>
          <w:vertAlign w:val="baseline"/>
        </w:rPr>
        <w:t> [*10227] </w:t>
      </w:r>
      <w:r>
        <w:rPr>
          <w:rFonts w:ascii="arial" w:eastAsia="arial" w:hAnsi="arial" w:cs="arial"/>
          <w:b w:val="0"/>
          <w:i w:val="0"/>
          <w:strike w:val="0"/>
          <w:noProof w:val="0"/>
          <w:color w:val="000000"/>
          <w:position w:val="0"/>
          <w:sz w:val="20"/>
          <w:u w:val="none"/>
          <w:vertAlign w:val="baseline"/>
        </w:rPr>
        <w:t xml:space="preserve"> on the statewide assessments that are part of the SEA's differentiated recognition, accountability, and support system, combined, and has demonstrated a lack of progress on those assessments over a number of years in the "all students"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Title I-participating or Title I-eligible high school with a graduation rate that is less than 60 percent over a number of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Tier I or Tier II school under the School Improvement Grant (SIG) program that is using SIG funds to implement a school intervention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and requirements. Section 681(d) of IDEA, however, makes the public comment requirements of the APA inapplicable to the priorities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20 U.S.C. 1474</w:t>
        </w:r>
      </w:hyperlink>
      <w:r>
        <w:rPr>
          <w:rFonts w:ascii="arial" w:eastAsia="arial" w:hAnsi="arial" w:cs="arial"/>
          <w:b w:val="0"/>
          <w:i w:val="0"/>
          <w:strike w:val="0"/>
          <w:noProof w:val="0"/>
          <w:color w:val="000000"/>
          <w:position w:val="0"/>
          <w:sz w:val="20"/>
          <w:u w:val="none"/>
          <w:vertAlign w:val="baseline"/>
        </w:rPr>
        <w:t xml:space="preserve"> and 1481.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$ 1,414,056.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$ 450,000 to $ 500,000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$ 471,352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$ 500,000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 with an optional additional 12 months based on performance. Applications must include plans for both the 48-month award and the 12-month extension.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LEAs, including public charter schools that are considered LEAs under State law; IHEs; other public agencies; private nonprofit organizations; outlying areas; freely associated States;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Recipients of funding under this program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Each applicant for, and recipient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4"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84.327S.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February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April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 </w:t>
      </w:r>
      <w:r>
        <w:rPr>
          <w:rFonts w:ascii="arial" w:eastAsia="arial" w:hAnsi="arial" w:cs="arial"/>
          <w:b/>
          <w:i w:val="0"/>
          <w:strike w:val="0"/>
          <w:noProof w:val="0"/>
          <w:color w:val="000000"/>
          <w:position w:val="0"/>
          <w:sz w:val="20"/>
          <w:u w:val="none"/>
          <w:vertAlign w:val="baseline"/>
        </w:rPr>
        <w:t> [*10228]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June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9"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3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Stepping-up Technology Implementation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84.327S, must be submitted electronically using the Governmentwide Grants.gov Apply site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Stepping-up Technology Implementation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84.327, not 84.327S).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w:t>
      </w:r>
      <w:r>
        <w:rPr>
          <w:rFonts w:ascii="arial" w:eastAsia="arial" w:hAnsi="arial" w:cs="arial"/>
          <w:b/>
          <w:i w:val="0"/>
          <w:strike w:val="0"/>
          <w:noProof w:val="0"/>
          <w:color w:val="000000"/>
          <w:position w:val="0"/>
          <w:sz w:val="20"/>
          <w:u w:val="none"/>
          <w:vertAlign w:val="baseline"/>
        </w:rPr>
        <w:t> [*10229] </w:t>
      </w:r>
      <w:r>
        <w:rPr>
          <w:rFonts w:ascii="arial" w:eastAsia="arial" w:hAnsi="arial" w:cs="arial"/>
          <w:b w:val="0"/>
          <w:i w:val="0"/>
          <w:strike w:val="0"/>
          <w:noProof w:val="0"/>
          <w:color w:val="000000"/>
          <w:position w:val="0"/>
          <w:sz w:val="20"/>
          <w:u w:val="none"/>
          <w:vertAlign w:val="baseline"/>
        </w:rPr>
        <w:t xml:space="preserve"> procedures for submitting an application through Grants.gov, please refer to the Grants.gov Web site at: </w:t>
      </w:r>
      <w:hyperlink r:id="rId3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of the Grants.gov validation requirements or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We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Terry Jackson, U.S. Department of Education, 400 Maryland Avenue SW., Room 5158, Potomac Center Plaza, Washington, DC 20202-5076.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84.327S)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 legibly dated U.S. Postal Service postmark. </w:t>
      </w:r>
      <w:r>
        <w:rPr>
          <w:rFonts w:ascii="arial" w:eastAsia="arial" w:hAnsi="arial" w:cs="arial"/>
          <w:b/>
          <w:i w:val="0"/>
          <w:strike w:val="0"/>
          <w:noProof w:val="0"/>
          <w:color w:val="000000"/>
          <w:position w:val="0"/>
          <w:sz w:val="20"/>
          <w:u w:val="none"/>
          <w:vertAlign w:val="baseline"/>
        </w:rPr>
        <w:t> [*10230]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84.327S),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34 CFR 75.210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established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Educational Technology, Media, and </w:t>
      </w:r>
      <w:r>
        <w:rPr>
          <w:rFonts w:ascii="arial" w:eastAsia="arial" w:hAnsi="arial" w:cs="arial"/>
          <w:b/>
          <w:i w:val="0"/>
          <w:strike w:val="0"/>
          <w:noProof w:val="0"/>
          <w:color w:val="000000"/>
          <w:position w:val="0"/>
          <w:sz w:val="20"/>
          <w:u w:val="none"/>
          <w:vertAlign w:val="baseline"/>
        </w:rPr>
        <w:t> [*10231] </w:t>
      </w:r>
      <w:r>
        <w:rPr>
          <w:rFonts w:ascii="arial" w:eastAsia="arial" w:hAnsi="arial" w:cs="arial"/>
          <w:b w:val="0"/>
          <w:i w:val="0"/>
          <w:strike w:val="0"/>
          <w:noProof w:val="0"/>
          <w:color w:val="000000"/>
          <w:position w:val="0"/>
          <w:sz w:val="20"/>
          <w:u w:val="none"/>
          <w:vertAlign w:val="baseline"/>
        </w:rPr>
        <w:t xml:space="preserve"> Materials for Individuals with Disabilities program. These measures are included in the application package and focus on the extent to which projects are of high quality, are relevant to improving outcomes of children with disabilities, contribute to improving outcomes for children with disabilities, and generate evidence of validity and availability to appropriate populations.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Performance Measure #1:</w:t>
      </w:r>
      <w:r>
        <w:rPr>
          <w:rFonts w:ascii="arial" w:eastAsia="arial" w:hAnsi="arial" w:cs="arial"/>
          <w:b w:val="0"/>
          <w:i w:val="0"/>
          <w:strike w:val="0"/>
          <w:noProof w:val="0"/>
          <w:color w:val="000000"/>
          <w:position w:val="0"/>
          <w:sz w:val="20"/>
          <w:u w:val="none"/>
          <w:vertAlign w:val="baseline"/>
        </w:rPr>
        <w:t xml:space="preserve"> The percentage of educational technology, media, and materials projects judged to be of high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Performance Measure #2:</w:t>
      </w:r>
      <w:r>
        <w:rPr>
          <w:rFonts w:ascii="arial" w:eastAsia="arial" w:hAnsi="arial" w:cs="arial"/>
          <w:b w:val="0"/>
          <w:i w:val="0"/>
          <w:strike w:val="0"/>
          <w:noProof w:val="0"/>
          <w:color w:val="000000"/>
          <w:position w:val="0"/>
          <w:sz w:val="20"/>
          <w:u w:val="none"/>
          <w:vertAlign w:val="baseline"/>
        </w:rPr>
        <w:t xml:space="preserve"> The percentage of educational technology, media, and materials projects judged to be of high relevance to improving outcomes of infants, toddlers, children, and youth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Performance Measure #3:</w:t>
      </w:r>
      <w:r>
        <w:rPr>
          <w:rFonts w:ascii="arial" w:eastAsia="arial" w:hAnsi="arial" w:cs="arial"/>
          <w:b w:val="0"/>
          <w:i w:val="0"/>
          <w:strike w:val="0"/>
          <w:noProof w:val="0"/>
          <w:color w:val="000000"/>
          <w:position w:val="0"/>
          <w:sz w:val="20"/>
          <w:u w:val="none"/>
          <w:vertAlign w:val="baseline"/>
        </w:rPr>
        <w:t xml:space="preserve"> The percentage of educational technology, media, and materials projects that produce findings, products, and other services that contribute to improving results for infants, toddlers, children, and youth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Performance Measure #4:</w:t>
      </w:r>
      <w:r>
        <w:rPr>
          <w:rFonts w:ascii="arial" w:eastAsia="arial" w:hAnsi="arial" w:cs="arial"/>
          <w:b w:val="0"/>
          <w:i w:val="0"/>
          <w:strike w:val="0"/>
          <w:noProof w:val="0"/>
          <w:color w:val="000000"/>
          <w:position w:val="0"/>
          <w:sz w:val="20"/>
          <w:u w:val="none"/>
          <w:vertAlign w:val="baseline"/>
        </w:rPr>
        <w:t xml:space="preserve"> The percentage of educational technology, media, and materials projects that validate their products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Performance Measure #5:</w:t>
      </w:r>
      <w:r>
        <w:rPr>
          <w:rFonts w:ascii="arial" w:eastAsia="arial" w:hAnsi="arial" w:cs="arial"/>
          <w:b w:val="0"/>
          <w:i w:val="0"/>
          <w:strike w:val="0"/>
          <w:noProof w:val="0"/>
          <w:color w:val="000000"/>
          <w:position w:val="0"/>
          <w:sz w:val="20"/>
          <w:u w:val="none"/>
          <w:vertAlign w:val="baseline"/>
        </w:rPr>
        <w:t xml:space="preserve"> The percentage of educational technology, media, and materials projects that make validated technologies available for widespread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performance reports and additional performance data to the Department (34 CFR 75.590 and 75.591).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Terry Jackson, U.S. Department of Education, 400 Maryland Avenue SW., Room 5158, Potomac Center Plaza, Washington, DC 20202-5076. Telephone: (202) 245-6039.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10223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B1-NRF4-4325-00000-00&amp;context=" TargetMode="External" /><Relationship Id="rId11" Type="http://schemas.openxmlformats.org/officeDocument/2006/relationships/hyperlink" Target="http://www.researchutilization.org/matrix/logicmodel_resource3c.html" TargetMode="External" /><Relationship Id="rId12" Type="http://schemas.openxmlformats.org/officeDocument/2006/relationships/hyperlink" Target="http://www.osepideasthatwork.org/logicModel/index.asp" TargetMode="External" /><Relationship Id="rId13" Type="http://schemas.openxmlformats.org/officeDocument/2006/relationships/hyperlink" Target="http://mdcc.sri.com/documents/reports/MDCC_Site_Assessment_Brief_09-30-11.pdf" TargetMode="External" /><Relationship Id="rId14" Type="http://schemas.openxmlformats.org/officeDocument/2006/relationships/hyperlink" Target="http://nirn.fpg.unc.edu/learn-implementation" TargetMode="External" /><Relationship Id="rId15" Type="http://schemas.openxmlformats.org/officeDocument/2006/relationships/hyperlink" Target="http://centerononlinelearning.org/wp-content/uploads/Foundation_7_2012.pdf" TargetMode="External" /><Relationship Id="rId16" Type="http://schemas.openxmlformats.org/officeDocument/2006/relationships/hyperlink" Target="http://www.eric.ed.gov/PDFS/ED536746.pdf" TargetMode="External" /><Relationship Id="rId17" Type="http://schemas.openxmlformats.org/officeDocument/2006/relationships/hyperlink" Target="http://www.setda.org/c/document_library/get_file?folderId=321&amp;name=DLFE-1587.pdf" TargetMode="External" /><Relationship Id="rId18" Type="http://schemas.openxmlformats.org/officeDocument/2006/relationships/hyperlink" Target="http://www.WaldenU.edu/fivemyths" TargetMode="External" /><Relationship Id="rId19" Type="http://schemas.openxmlformats.org/officeDocument/2006/relationships/hyperlink" Target="http://www.centerii.org/handbook" TargetMode="External" /><Relationship Id="rId2" Type="http://schemas.openxmlformats.org/officeDocument/2006/relationships/webSettings" Target="webSettings.xml" /><Relationship Id="rId20" Type="http://schemas.openxmlformats.org/officeDocument/2006/relationships/hyperlink" Target="http://www.ed.gov/sites/default/files/netp2010.pdf" TargetMode="External" /><Relationship Id="rId21" Type="http://schemas.openxmlformats.org/officeDocument/2006/relationships/hyperlink" Target="https://advance.lexis.com/api/document?collection=administrative-codes&amp;id=urn:contentItem:5DT7-0130-006W-81YP-00000-00&amp;context=" TargetMode="External" /><Relationship Id="rId22" Type="http://schemas.openxmlformats.org/officeDocument/2006/relationships/hyperlink" Target="http://ies.ed.gov/ncee/wwc/DocumentSum.aspx?sid=19" TargetMode="External" /><Relationship Id="rId23" Type="http://schemas.openxmlformats.org/officeDocument/2006/relationships/hyperlink" Target="https://advance.lexis.com/api/document?collection=statutes-legislation&amp;id=urn:contentItem:4YF7-GTC1-NRF4-41G0-00000-00&amp;context=" TargetMode="External" /><Relationship Id="rId24" Type="http://schemas.openxmlformats.org/officeDocument/2006/relationships/hyperlink" Target="http://www.ed.gov/fund/grant/apply/grantapps/index.html" TargetMode="External" /><Relationship Id="rId25" Type="http://schemas.openxmlformats.org/officeDocument/2006/relationships/hyperlink" Target="http://www.EDPubs.gov" TargetMode="External" /><Relationship Id="rId26" Type="http://schemas.openxmlformats.org/officeDocument/2006/relationships/hyperlink" Target="mailto:edpubs@inet.ed.gov" TargetMode="External" /><Relationship Id="rId27" Type="http://schemas.openxmlformats.org/officeDocument/2006/relationships/hyperlink" Target="http://fedgov.dnb.com/webform" TargetMode="External" /><Relationship Id="rId28" Type="http://schemas.openxmlformats.org/officeDocument/2006/relationships/hyperlink" Target="http://www.SAM.gov" TargetMode="External" /><Relationship Id="rId29" Type="http://schemas.openxmlformats.org/officeDocument/2006/relationships/hyperlink" Target="http://www2.ed.gov/fund/grant/apply/sam-faqs.html" TargetMode="External" /><Relationship Id="rId3" Type="http://schemas.openxmlformats.org/officeDocument/2006/relationships/fontTable" Target="fontTable.xml" /><Relationship Id="rId30" Type="http://schemas.openxmlformats.org/officeDocument/2006/relationships/hyperlink" Target="http://www.grants.gov/web/grants/register.html" TargetMode="External" /><Relationship Id="rId31" Type="http://schemas.openxmlformats.org/officeDocument/2006/relationships/hyperlink" Target="http://www.Grants.gov" TargetMode="External" /><Relationship Id="rId32" Type="http://schemas.openxmlformats.org/officeDocument/2006/relationships/hyperlink" Target="http://www.G5.gov" TargetMode="External" /><Relationship Id="rId33" Type="http://schemas.openxmlformats.org/officeDocument/2006/relationships/hyperlink" Target="http://www.grants.gov/web/grants/applicants/apply-for-grants.html" TargetMode="External" /><Relationship Id="rId34" Type="http://schemas.openxmlformats.org/officeDocument/2006/relationships/hyperlink" Target="http://www.ed.gov/fund/grant/apply/appforms/appforms.html"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69-VCM0-006W-834S-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61194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71560586</vt:lpwstr>
  </property>
  <property fmtid="{D5CDD505-2E9C-101B-9397-08002B2CF9AE}" pid="3" name="LADocCount">
    <vt:lpwstr>1</vt:lpwstr>
  </property>
  <property fmtid="{D5CDD505-2E9C-101B-9397-08002B2CF9AE}" pid="4" name="UserPermID">
    <vt:lpwstr>urn:user:PA185916758</vt:lpwstr>
  </property>
</Properties>
</file>