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10232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039, Monday, February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10232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Indian Education Discretionary Grants Programs--Demonstration Grants for Indian Children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Indian Education Discretionary Grants Programs--Demonstration Grants for Indian Children Program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84.299A.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February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April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May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July 28,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Demonstration Grants for Indian Children program is to provide financial assistance to projects that develop, test, and demonstrate the effectiveness of services and programs to improve the educational opportunities and achievement of preschool, elementary, and secondary Indian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For FY 2016, the Department will continue to use the priority for Native Youth Community Projects (NYCP) first used in FY 2015 to support community-led, comprehensive projects to help American Indian/Alaska Native (AI/AN) children become college- and career-ready. NYCP funding is one of many efforts across the Federal government to coordinate, measure progress, and make investments in Native youth programs as part of the Generation Indigenous Initiative. These efforts aim to address educational outcomes, access to the internet, the availability of teacher housing, Indian Child Welfare Act implementation, tribal criminal justice, and the suicide rate. The Department intends to award several NYCP grants for communities to improve educational outcomes, specifically college- and career-readiness, through strategies tailored to address the specific challenges and build upon the specific opportunities and culture within a community. Due to increased funding for FY 2016, the Department expects to support more comprehensive projects that implement multiple strategies. Given the interconnectedness of in-school and out-of-school factors that relate to student achievement and positive youth development, grants will support a community-led approach to providing academic, social-emotional, cultural, and other support services for AI/AN students and students' family members. Recognizing the importance of tribes to the education of Native youth, NYCP projects are based on a partnership that includes at least one tribe and one school district or BIE-funded school. We expect that this partnership will facilitate capacity building within the community, generating positive results and practices for student college- and career-readiness beyond the period of Federal financial assistance. The requirement of a written partnership agreement helps to ensure that all relevant partners needed to achieve the project goals are included from the outset. Finally, grantees' project evaluations should help inform future practices that effectively improve outcomes for AI/AN youth.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contains one absolute priority and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8"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absolute priority is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34 CFR 263.21(c)(1)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263.20</w:t>
        </w:r>
      </w:hyperlink>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one is from § 263.21(c)(5)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two is from § 263.21(b)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three paragraph (b) is from § 263.21(c)(2)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three paragraph (a) (relating to Promise Zones) is from the notice of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1" w:history="1">
        <w:r>
          <w:rPr>
            <w:rFonts w:ascii="arial" w:eastAsia="arial" w:hAnsi="arial" w:cs="arial"/>
            <w:b w:val="0"/>
            <w:i/>
            <w:strike w:val="0"/>
            <w:noProof w:val="0"/>
            <w:color w:val="0077CC"/>
            <w:position w:val="0"/>
            <w:sz w:val="20"/>
            <w:u w:val="single"/>
            <w:vertAlign w:val="baseline"/>
          </w:rPr>
          <w:t>(79 FR 17035).</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Youth Community Projects.</w:t>
      </w:r>
      <w:r>
        <w:rPr>
          <w:rFonts w:ascii="arial" w:eastAsia="arial" w:hAnsi="arial" w:cs="arial"/>
          <w:b w:val="0"/>
          <w:i w:val="0"/>
          <w:strike w:val="0"/>
          <w:noProof w:val="0"/>
          <w:color w:val="000000"/>
          <w:position w:val="0"/>
          <w:sz w:val="20"/>
          <w:u w:val="none"/>
          <w:vertAlign w:val="baseline"/>
        </w:rPr>
        <w:t xml:space="preserve"> A native youth community project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Focused on a defined local geographic area to be served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Centered on the goal of ensuring that Indian students are prepared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Informed by evidence, which could be either a needs assessment conducted within the last three years or other data analysis,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greatest barriers, both in and out of school, to the readiness of local Indian students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Opportunities in the local community to support Indian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Existing local policies, programs, practices, service providers, and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Focused on one or more barriers or opportunities with a community-based strategy or strategies and measurable objectives; </w:t>
      </w:r>
      <w:r>
        <w:rPr>
          <w:rFonts w:ascii="arial" w:eastAsia="arial" w:hAnsi="arial" w:cs="arial"/>
          <w:b/>
          <w:i w:val="0"/>
          <w:strike w:val="0"/>
          <w:noProof w:val="0"/>
          <w:color w:val="000000"/>
          <w:position w:val="0"/>
          <w:sz w:val="20"/>
          <w:u w:val="none"/>
          <w:vertAlign w:val="baseline"/>
        </w:rPr>
        <w:t> [*10233]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Designed and implemented through a partnership of various entities,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One or more tribes or their tribal education agencies;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One or more Department of the Interior Bureau of Indian Education (BIE)-funded schools, one or more local educational agencies (LEAs), or both;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May include other optional entities, including community-based organizations, national nonprofit organizations, and Alaska regional corporations;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Led by an entity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eligible for a grant under the Demonstration Grants for Indian Children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Demonstrates, or partners with an entity that demonstrates, the capacity to improve outcomes that are relevant to the project focus through experience with programs funded through other sources.</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10 points to an application, depending on how well the application meets one or more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One.</w:t>
      </w:r>
      <w:r>
        <w:rPr>
          <w:rFonts w:ascii="arial" w:eastAsia="arial" w:hAnsi="arial" w:cs="arial"/>
          <w:b w:val="0"/>
          <w:i w:val="0"/>
          <w:strike w:val="0"/>
          <w:noProof w:val="0"/>
          <w:color w:val="000000"/>
          <w:position w:val="0"/>
          <w:sz w:val="20"/>
          <w:u w:val="none"/>
          <w:vertAlign w:val="baseline"/>
        </w:rPr>
        <w:t xml:space="preserve"> We award two points to an application proposing to serve a rural local community. To meet this priority, a project must include an LEA that is eligible under the Small Rural School Achievement (SRSA) or Rural and Low-Income School (RLIS) program, or a BIE-funded school that is located in an area designated by the U.S. Census Bureau with a locale code of 42 or 43.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Two.</w:t>
      </w:r>
      <w:r>
        <w:rPr>
          <w:rFonts w:ascii="arial" w:eastAsia="arial" w:hAnsi="arial" w:cs="arial"/>
          <w:b w:val="0"/>
          <w:i w:val="0"/>
          <w:strike w:val="0"/>
          <w:noProof w:val="0"/>
          <w:color w:val="000000"/>
          <w:position w:val="0"/>
          <w:sz w:val="20"/>
          <w:u w:val="none"/>
          <w:vertAlign w:val="baseline"/>
        </w:rPr>
        <w:t xml:space="preserve"> Although all NYCP grantees are required to have an eligible Indian tribe or its tribal education agency (TEA) as a partner, we award four points to an application in which the lead partner is an eligible Indian tribe or its TEA, an Indian organization, or an Indian Institution of Higher Education (IHE). See the definition of Indian IHE listed under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in section III of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Three.</w:t>
      </w:r>
      <w:r>
        <w:rPr>
          <w:rFonts w:ascii="arial" w:eastAsia="arial" w:hAnsi="arial" w:cs="arial"/>
          <w:b w:val="0"/>
          <w:i w:val="0"/>
          <w:strike w:val="0"/>
          <w:noProof w:val="0"/>
          <w:color w:val="000000"/>
          <w:position w:val="0"/>
          <w:sz w:val="20"/>
          <w:u w:val="none"/>
          <w:vertAlign w:val="baseline"/>
        </w:rPr>
        <w:t xml:space="preserve"> We award four points to an application that meets one of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Designed to serve a local community within a federally designated Promise Zone;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Submitted by a partnership or consortium in which the lead applicant or one of its partners has received a grant in the last four years under one or more of the following grant or enhancement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Tribal Education Partnership (title VII, part A, subpart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Sovereignty in Indian Education Enhancements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Alaska Native Education Program (title VII, 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Promise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Tribal Education Department Grants (Department of the Interior).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a participant in the Administration's Promise Zone Initiative, the Department is cooperating with the Departments of Housing and Urban Development (HUD) and, the Department of Agriculture (USDA) and nine other Federal agencies to support comprehensive revitalization efforts in 20 high-poverty urban, rural, and tribal communities across the country. Each application for NYCP funds that is accompanied by a Certification of Consistency with Promise Zone Goals and Implementation (HUD Form 50153) signed by an authorized representative of the lead organization of a Promise Zone designated by HUD or USDA supporting the application will receive four points,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3(a). An application for NYCP grant funds that is not accompanied by a signed certification (HUD Form 50153) will not receive points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3(a), but may still be eligible to receive points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3(b) if it received one of the grants listed. To view the list of designated Promise Zones and lead organizations please go to </w:t>
      </w:r>
      <w:hyperlink r:id="rId12" w:history="1">
        <w:r>
          <w:rPr>
            <w:rFonts w:ascii="arial" w:eastAsia="arial" w:hAnsi="arial" w:cs="arial"/>
            <w:b w:val="0"/>
            <w:i/>
            <w:strike w:val="0"/>
            <w:noProof w:val="0"/>
            <w:color w:val="0077CC"/>
            <w:position w:val="0"/>
            <w:sz w:val="20"/>
            <w:u w:val="single"/>
            <w:vertAlign w:val="baseline"/>
          </w:rPr>
          <w:t>www.hud.gov/promisezones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certification form is available at </w:t>
      </w:r>
      <w:r>
        <w:rPr>
          <w:rFonts w:ascii="arial" w:eastAsia="arial" w:hAnsi="arial" w:cs="arial"/>
          <w:b w:val="0"/>
          <w:i/>
          <w:strike w:val="0"/>
          <w:noProof w:val="0"/>
          <w:color w:val="000000"/>
          <w:position w:val="0"/>
          <w:sz w:val="20"/>
          <w:u w:val="none"/>
          <w:vertAlign w:val="baseline"/>
        </w:rPr>
        <w:t>//portal.hud.gov/hudportal/documents/huddoc?id=HUD_Form_50153.pdf.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application will not receive points for both (a) and (b).</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The following requirements apply to all applications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are from </w:t>
      </w:r>
      <w:hyperlink r:id="rId10" w:history="1">
        <w:r>
          <w:rPr>
            <w:rFonts w:ascii="arial" w:eastAsia="arial" w:hAnsi="arial" w:cs="arial"/>
            <w:b w:val="0"/>
            <w:i/>
            <w:strike w:val="0"/>
            <w:noProof w:val="0"/>
            <w:color w:val="0077CC"/>
            <w:position w:val="0"/>
            <w:sz w:val="20"/>
            <w:u w:val="single"/>
            <w:vertAlign w:val="baseline"/>
          </w:rPr>
          <w:t>34 CFR 263.20</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263.21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263.22</w:t>
        </w:r>
      </w:hyperlink>
      <w:r>
        <w:rPr>
          <w:rFonts w:ascii="arial" w:eastAsia="arial" w:hAnsi="arial" w:cs="arial"/>
          <w:b w:val="0"/>
          <w:i w:val="0"/>
          <w:strike w:val="0"/>
          <w:noProof w:val="0"/>
          <w:color w:val="000000"/>
          <w:position w:val="0"/>
          <w:sz w:val="20"/>
          <w:u w:val="none"/>
          <w:vertAlign w:val="baseline"/>
        </w:rPr>
        <w:t>. 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the defined geographic area to be served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Evidence, based on either a needs assessment conducted within the last three years or other data analysis,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greatest barriers, both in and out of school, to the readiness of local Indian students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Opportunities in the local community to support Indian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Existing local policies, programs, practices, service providers, and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project design and management plan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Addresses one or more barriers or opportunities towards the goal of ensuring that Indian students are prepared for college and careers, as identified in the local needs assessment or other data analysis;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Uses a community-based strategy (or strategies), and measureable objectives for that strategy (or strategies) that can be used to measure progress toward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copy of an agreement signed by the partners in the proposed project, identifying the responsibilities of each partner in the project. Signatories to the agreement must include at least one tribe or its TEA and at least one LEA or BIE-funded school, as described in the absolute priority above. Letters of support do not meet the requirement for a signed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Evidence that the applicant or one of its partners has demonstrated the capacity to improve outcomes that are relevant to the project focus through experience with programs funded through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description of how Indian tribes and parents of Indian children have been, and will be, involved in developing and implementing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Information demonstrating that the proposed project is based on scientific research, where applicable, or an existing program that has been modified to be culturally appropriate for Indian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description of how the applicant will continue the proposed activities once the grant period is over.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Hiring Preference:</w:t>
      </w:r>
      <w:r>
        <w:rPr>
          <w:rFonts w:ascii="arial" w:eastAsia="arial" w:hAnsi="arial" w:cs="arial"/>
          <w:b w:val="0"/>
          <w:i w:val="0"/>
          <w:strike w:val="0"/>
          <w:noProof w:val="0"/>
          <w:color w:val="000000"/>
          <w:position w:val="0"/>
          <w:sz w:val="20"/>
          <w:u w:val="none"/>
          <w:vertAlign w:val="baseline"/>
        </w:rPr>
        <w:t xml:space="preserve"> (a) Awards that are primarily for the benefit of Indians are subject to the provisions of section 7(b) of the Indian Self-Determination and Education Assistance Act (</w:t>
      </w:r>
      <w:hyperlink r:id="rId14"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That section requires that, to the greatest extent feasible, a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Give to Indians preferences and opportunities for training and employment in connection with the administration of the grant;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Give to Indian organizations and to Indian-owned economic enterprises, as defined in section 3 of the Indian Financing Act of 1974 (</w:t>
      </w:r>
      <w:hyperlink r:id="rId15" w:history="1">
        <w:r>
          <w:rPr>
            <w:rFonts w:ascii="arial" w:eastAsia="arial" w:hAnsi="arial" w:cs="arial"/>
            <w:b w:val="0"/>
            <w:i/>
            <w:strike w:val="0"/>
            <w:noProof w:val="0"/>
            <w:color w:val="0077CC"/>
            <w:position w:val="0"/>
            <w:sz w:val="20"/>
            <w:u w:val="single"/>
            <w:vertAlign w:val="baseline"/>
          </w:rPr>
          <w:t>25 U.S.C. 1452(e)</w:t>
        </w:r>
      </w:hyperlink>
      <w:r>
        <w:rPr>
          <w:rFonts w:ascii="arial" w:eastAsia="arial" w:hAnsi="arial" w:cs="arial"/>
          <w:b w:val="0"/>
          <w:i w:val="0"/>
          <w:strike w:val="0"/>
          <w:noProof w:val="0"/>
          <w:color w:val="000000"/>
          <w:position w:val="0"/>
          <w:sz w:val="20"/>
          <w:u w:val="none"/>
          <w:vertAlign w:val="baseline"/>
        </w:rPr>
        <w:t>), preference in the award of contracts in connection with the administration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purposes of this section, an Indian is a member of any federally 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20 U.S.C. 7441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w:t>
      </w:r>
      <w:r>
        <w:rPr>
          <w:rFonts w:ascii="arial" w:eastAsia="arial" w:hAnsi="arial" w:cs="arial"/>
          <w:b/>
          <w:i w:val="0"/>
          <w:strike w:val="0"/>
          <w:noProof w:val="0"/>
          <w:color w:val="000000"/>
          <w:position w:val="0"/>
          <w:sz w:val="20"/>
          <w:u w:val="none"/>
          <w:vertAlign w:val="baseline"/>
        </w:rPr>
        <w:t> [*10234] </w:t>
      </w:r>
      <w:r>
        <w:rPr>
          <w:rFonts w:ascii="arial" w:eastAsia="arial" w:hAnsi="arial" w:cs="arial"/>
          <w:b w:val="0"/>
          <w:i w:val="0"/>
          <w:strike w:val="0"/>
          <w:noProof w:val="0"/>
          <w:color w:val="000000"/>
          <w:position w:val="0"/>
          <w:sz w:val="20"/>
          <w:u w:val="none"/>
          <w:vertAlign w:val="baseline"/>
        </w:rPr>
        <w:t xml:space="preserve">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17,400,000.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$ 500,000-1,000,000.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$ 900,000.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Eligible applicants for this program are State educational agencies; LEAs, including charter schools that are considered LEAs under State law; Indian tribes; Indian organizations; BIE-funded schools; Indian institutions (including Indian IHEs); or a consortium of any of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absolute priority for NYCP requires that an applicant be a member of a partnership that includes at least one tribe or its TEA and at least one LEA or BIE-funded school. Applications will be rejected that do not include at least these two types of partners.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Including as a partner an Indian organization or Indian IHE does not satisfy the requirement, under the absolute priority, of including the tribe itself as one of the partners. A tribe may designate another entity to apply on its behalf only if the entity submits as part of its application a tribal resolution authorizing the designation for the purpose of applying for and administering this Demonstration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applying as an Indian organization must demonstrate that the entity meets the definition of "Indian organization" in </w:t>
      </w:r>
      <w:hyperlink r:id="rId10" w:history="1">
        <w:r>
          <w:rPr>
            <w:rFonts w:ascii="arial" w:eastAsia="arial" w:hAnsi="arial" w:cs="arial"/>
            <w:b w:val="0"/>
            <w:i/>
            <w:strike w:val="0"/>
            <w:noProof w:val="0"/>
            <w:color w:val="0077CC"/>
            <w:position w:val="0"/>
            <w:sz w:val="20"/>
            <w:u w:val="single"/>
            <w:vertAlign w:val="baseline"/>
          </w:rPr>
          <w:t>34 CFR 263.20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"Indian institution of higher education" means an accredited college or university within the United States cited in section 532 of the Equity in Educational Land-Grant Status Act of 1994 (</w:t>
      </w:r>
      <w:hyperlink r:id="rId17" w:history="1">
        <w:r>
          <w:rPr>
            <w:rFonts w:ascii="arial" w:eastAsia="arial" w:hAnsi="arial" w:cs="arial"/>
            <w:b w:val="0"/>
            <w:i/>
            <w:strike w:val="0"/>
            <w:noProof w:val="0"/>
            <w:color w:val="0077CC"/>
            <w:position w:val="0"/>
            <w:sz w:val="20"/>
            <w:u w:val="single"/>
            <w:vertAlign w:val="baseline"/>
          </w:rPr>
          <w:t>7 U.S.C. 301</w:t>
        </w:r>
      </w:hyperlink>
      <w:r>
        <w:rPr>
          <w:rFonts w:ascii="arial" w:eastAsia="arial" w:hAnsi="arial" w:cs="arial"/>
          <w:b w:val="0"/>
          <w:i w:val="0"/>
          <w:strike w:val="0"/>
          <w:noProof w:val="0"/>
          <w:color w:val="000000"/>
          <w:position w:val="0"/>
          <w:sz w:val="20"/>
          <w:u w:val="none"/>
          <w:vertAlign w:val="baseline"/>
        </w:rPr>
        <w:t xml:space="preserve"> note), any other institution that qualifies for funding under the Tribally Controlled College or University Assistance Act of 1978 (</w:t>
      </w:r>
      <w:hyperlink r:id="rId18" w:history="1">
        <w:r>
          <w:rPr>
            <w:rFonts w:ascii="arial" w:eastAsia="arial" w:hAnsi="arial" w:cs="arial"/>
            <w:b w:val="0"/>
            <w:i/>
            <w:strike w:val="0"/>
            <w:noProof w:val="0"/>
            <w:color w:val="0077CC"/>
            <w:position w:val="0"/>
            <w:sz w:val="20"/>
            <w:u w:val="single"/>
            <w:vertAlign w:val="baseline"/>
          </w:rPr>
          <w:t>25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Dine College (formerly Navajo Community College) authorized in the Navajo Community College Assistance Act of 1978 (</w:t>
      </w:r>
      <w:hyperlink r:id="rId19" w:history="1">
        <w:r>
          <w:rPr>
            <w:rFonts w:ascii="arial" w:eastAsia="arial" w:hAnsi="arial" w:cs="arial"/>
            <w:b w:val="0"/>
            <w:i/>
            <w:strike w:val="0"/>
            <w:noProof w:val="0"/>
            <w:color w:val="0077CC"/>
            <w:position w:val="0"/>
            <w:sz w:val="20"/>
            <w:u w:val="single"/>
            <w:vertAlign w:val="baseline"/>
          </w:rPr>
          <w:t>25 U.S.C. 640a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www.ed.gov/gund/grant/apply/grantapps/index.html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84.299A.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Notice of Intent to Apply: The Department will be able to review grant applications more efficiently if we know the approximate number of applicants that intend to apply. Therefore, the Assistant Secretary strongly encourages each potential applicant to notify us of their intent to submit an application for funding. To do so, please email </w:t>
      </w:r>
      <w:hyperlink r:id="rId23" w:history="1">
        <w:r>
          <w:rPr>
            <w:rFonts w:ascii="arial" w:eastAsia="arial" w:hAnsi="arial" w:cs="arial"/>
            <w:b w:val="0"/>
            <w:i/>
            <w:strike w:val="0"/>
            <w:noProof w:val="0"/>
            <w:color w:val="0077CC"/>
            <w:position w:val="0"/>
            <w:sz w:val="20"/>
            <w:u w:val="single"/>
            <w:vertAlign w:val="baseline"/>
          </w:rPr>
          <w:t>John.Cheek@ed.gov</w:t>
        </w:r>
      </w:hyperlink>
      <w:r>
        <w:rPr>
          <w:rFonts w:ascii="arial" w:eastAsia="arial" w:hAnsi="arial" w:cs="arial"/>
          <w:b w:val="0"/>
          <w:i w:val="0"/>
          <w:strike w:val="0"/>
          <w:noProof w:val="0"/>
          <w:color w:val="000000"/>
          <w:position w:val="0"/>
          <w:sz w:val="20"/>
          <w:u w:val="none"/>
          <w:vertAlign w:val="baseline"/>
        </w:rPr>
        <w:t xml:space="preserve"> with the subject line "Intent to Apply," and include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Applicant's name, mailing address, and 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Contact person's name and email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defined local geographic area to be served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Name(s) of partnering LEA(s) or BIE-funded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Names of partnering tribe(s) or TEA(s);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appropriate, names of other partnering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that do not submit a notice of intent to apply may still apply for funding; applicants that do submit a notice of intent to apply are not bound to apply or bound by the information provided. Pre-Application Webinar: The Department intends to hold a pre-application Webinar designed to provide technical assistance to interested applicants. Information about Webinar times and instructions for registering are on the Department Web site at </w:t>
      </w:r>
      <w:hyperlink r:id="rId24" w:history="1">
        <w:r>
          <w:rPr>
            <w:rFonts w:ascii="arial" w:eastAsia="arial" w:hAnsi="arial" w:cs="arial"/>
            <w:b w:val="0"/>
            <w:i/>
            <w:strike w:val="0"/>
            <w:noProof w:val="0"/>
            <w:color w:val="0077CC"/>
            <w:position w:val="0"/>
            <w:sz w:val="20"/>
            <w:u w:val="single"/>
            <w:vertAlign w:val="baseline"/>
          </w:rPr>
          <w:t>http://www2.ed.gov/programs/indiandemo/applicant.html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is where you, the applicant, address the selection criteria that reviewers use to evaluate your application. The suggested page limit for the application narrative is 35 pages. The suggested standards for the narrative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 but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the cover sheet; the budget section, including the budget narrative justification; the consortium agreement or partnership agreement; the assurances and certifications; or the abstract, the resumes, the bibliography, or other required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Demonstration Grants for Indian Children,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5"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 Form," please list the page number or numbers on which we can find this information. For additional information please see </w:t>
      </w:r>
      <w:hyperlink r:id="rId25"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February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April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May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July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Indian Education--Demonstration Grants for Indian Children program, CFDA number 84.299A, must be submitted electronically using the Governmentwide Grants.gov Apply site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Indian Education--Demonstration Grants for Indian Children program at </w:t>
      </w:r>
      <w:hyperlink r:id="rId3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84.299, not 84.299A).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Grants.gov are date and time stamped. Your application must be fully uploaded and submitted and must be date and time stamped by the Grants.gov system no later than 4:30:00 p.m., Washington, DC time, on the application deadline date. </w:t>
      </w:r>
      <w:r>
        <w:rPr>
          <w:rFonts w:ascii="arial" w:eastAsia="arial" w:hAnsi="arial" w:cs="arial"/>
          <w:b/>
          <w:i w:val="0"/>
          <w:strike w:val="0"/>
          <w:noProof w:val="0"/>
          <w:color w:val="000000"/>
          <w:position w:val="0"/>
          <w:sz w:val="20"/>
          <w:u w:val="none"/>
          <w:vertAlign w:val="baseline"/>
        </w:rPr>
        <w:t> [*10236] </w:t>
      </w:r>
      <w:r>
        <w:rPr>
          <w:rFonts w:ascii="arial" w:eastAsia="arial" w:hAnsi="arial" w:cs="arial"/>
          <w:b w:val="0"/>
          <w:i w:val="0"/>
          <w:strike w:val="0"/>
          <w:noProof w:val="0"/>
          <w:color w:val="000000"/>
          <w:position w:val="0"/>
          <w:sz w:val="20"/>
          <w:u w:val="none"/>
          <w:vertAlign w:val="baseline"/>
        </w:rPr>
        <w:t xml:space="preserv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3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written statement to the Department, it must be postmarked no later than two weeks before the application deadline date. If you fax your written statement to the </w:t>
      </w:r>
      <w:r>
        <w:rPr>
          <w:rFonts w:ascii="arial" w:eastAsia="arial" w:hAnsi="arial" w:cs="arial"/>
          <w:b/>
          <w:i w:val="0"/>
          <w:strike w:val="0"/>
          <w:noProof w:val="0"/>
          <w:color w:val="000000"/>
          <w:position w:val="0"/>
          <w:sz w:val="20"/>
          <w:u w:val="none"/>
          <w:vertAlign w:val="baseline"/>
        </w:rPr>
        <w:t> [*10237] </w:t>
      </w:r>
      <w:r>
        <w:rPr>
          <w:rFonts w:ascii="arial" w:eastAsia="arial" w:hAnsi="arial" w:cs="arial"/>
          <w:b w:val="0"/>
          <w:i w:val="0"/>
          <w:strike w:val="0"/>
          <w:noProof w:val="0"/>
          <w:color w:val="000000"/>
          <w:position w:val="0"/>
          <w:sz w:val="20"/>
          <w:u w:val="none"/>
          <w:vertAlign w:val="baseline"/>
        </w:rPr>
        <w:t xml:space="preserv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John Cheek, U.S. Department of Education, 400 Maryland Avenue SW., Room 3W215, Washington, DC 20202-6335. FAX: (202) 401-0606.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84.299A)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will not consider applications</w:t>
      </w:r>
      <w:r>
        <w:rPr>
          <w:rFonts w:ascii="arial" w:eastAsia="arial" w:hAnsi="arial" w:cs="arial"/>
          <w:b w:val="0"/>
          <w:i w:val="0"/>
          <w:strike w:val="0"/>
          <w:noProof w:val="0"/>
          <w:color w:val="000000"/>
          <w:position w:val="0"/>
          <w:sz w:val="20"/>
          <w:u w:val="none"/>
          <w:vertAlign w:val="baseline"/>
        </w:rPr>
        <w:t xml:space="preserve">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84.299A),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 general selection criteria from </w:t>
      </w:r>
      <w:hyperlink r:id="rId3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selection criteria based on regulatory requirements in 34 CFR part 263, in accordance with </w:t>
      </w:r>
      <w:hyperlink r:id="rId34" w:history="1">
        <w:r>
          <w:rPr>
            <w:rFonts w:ascii="arial" w:eastAsia="arial" w:hAnsi="arial" w:cs="arial"/>
            <w:b w:val="0"/>
            <w:i/>
            <w:strike w:val="0"/>
            <w:noProof w:val="0"/>
            <w:color w:val="0077CC"/>
            <w:position w:val="0"/>
            <w:sz w:val="20"/>
            <w:u w:val="single"/>
            <w:vertAlign w:val="baseline"/>
          </w:rPr>
          <w:t>34 CFR 75.209(a)</w:t>
        </w:r>
      </w:hyperlink>
      <w:r>
        <w:rPr>
          <w:rFonts w:ascii="arial" w:eastAsia="arial" w:hAnsi="arial" w:cs="arial"/>
          <w:b w:val="0"/>
          <w:i w:val="0"/>
          <w:strike w:val="0"/>
          <w:noProof w:val="0"/>
          <w:color w:val="000000"/>
          <w:position w:val="0"/>
          <w:sz w:val="20"/>
          <w:u w:val="none"/>
          <w:vertAlign w:val="baseline"/>
        </w:rPr>
        <w:t>. We will award up to 100 points to an application under the selection criteria; the total possible points for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(Maximum 15 points). The Secretary considers the need for the proposed project. In determining the need for the proposed project, the Secretary considers the following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project is informed by evidence, which could be either a needs assessment conducted within the last three years or other data analysis,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greatest barriers both in and out of school to the readiness of local Indian students for college and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Opportunities in the local community to support Indian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Existing local policies, programs, practices, service providers, and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30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(Up to 3 points) The extent to which the project is focused on a defined local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 to 3 points) The extent to which the proposed project is based on scientific research, where applicable, or an existing program that has been modified to be culturally appropriate for Indian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(Up to 7 points)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(Up to 10 points) The extent to which the design of the proposed project is appropriate to, and will successfully address, the needs of the target population or other identified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(Up to 7 points)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(Maximum 10 points). 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applicant, or one of its partners, demonstrates capacity to improve outcomes that are relevant to the project focus through experience with programs funded through other sources.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Please note that section 7(b) of the Indian Self-Determination and Education Assistance Act requires that to the greatest extent feasible, a grantee must give to Indians preference and opportunities in connection with the administration of the grant, and give Indian organizations and Indian-owned economic enterprises, as defined in section 3 of the Indian Financing Act of 1974 (</w:t>
      </w:r>
      <w:hyperlink r:id="rId15" w:history="1">
        <w:r>
          <w:rPr>
            <w:rFonts w:ascii="arial" w:eastAsia="arial" w:hAnsi="arial" w:cs="arial"/>
            <w:b w:val="0"/>
            <w:i/>
            <w:strike w:val="0"/>
            <w:noProof w:val="0"/>
            <w:color w:val="0077CC"/>
            <w:position w:val="0"/>
            <w:sz w:val="20"/>
            <w:u w:val="single"/>
            <w:vertAlign w:val="baseline"/>
          </w:rPr>
          <w:t>25 U.S.C. 1452(e)</w:t>
        </w:r>
      </w:hyperlink>
      <w:r>
        <w:rPr>
          <w:rFonts w:ascii="arial" w:eastAsia="arial" w:hAnsi="arial" w:cs="arial"/>
          <w:b w:val="0"/>
          <w:i w:val="0"/>
          <w:strike w:val="0"/>
          <w:noProof w:val="0"/>
          <w:color w:val="000000"/>
          <w:position w:val="0"/>
          <w:sz w:val="20"/>
          <w:u w:val="none"/>
          <w:vertAlign w:val="baseline"/>
        </w:rPr>
        <w:t>), preference in the award of contracts in connection with the administration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(Maximum 10 points). 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relevance and demonstrated commitment of each partner in the proposed project to the implementation and success of the project. </w:t>
      </w:r>
      <w:r>
        <w:rPr>
          <w:rFonts w:ascii="arial" w:eastAsia="arial" w:hAnsi="arial" w:cs="arial"/>
          <w:b/>
          <w:i w:val="0"/>
          <w:strike w:val="0"/>
          <w:noProof w:val="0"/>
          <w:color w:val="000000"/>
          <w:position w:val="0"/>
          <w:sz w:val="20"/>
          <w:u w:val="none"/>
          <w:vertAlign w:val="baseline"/>
        </w:rPr>
        <w:t> [*10238]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(Maximum 30 points).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(Up to 14 points)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 to 3 points)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(Up to 10 points) The extent to which Indian tribes and parents of Indian children have been, and will be, involved in developing and implementing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(Up to 3 points) The extent to which the proposed project is designed to build capacity and yield results that will extend beyond the period of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(Maximum 5 points). The Secretary considers the quality of the evaluation to be conducted of the proposed project. In determining the quality of the evaluation, the Secretary considers the following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evaluation will provide guidance about effective strategies suitable for replication or testing in other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4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developed the following performance measures for measuring the overall effectiveness of the Demonstration Grants for Indian Children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the annual measurable objectives, as described in the application, that are met by grantees;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grantees that report a significant increase in community collaborative efforts that promote college and career readiness of Indian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constitute the Department's indicators of success for this program. Consequently, we advise an applicant for a grant under this program to give careful consideration to these measures in developing the proposed project and identifying the method of evaluation. Each grantee will be required to provide, in its annual performance and final reports, data about its progress in meeting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Cheek, U.S. Department of Education, 400 Maryland Avenue SW., Room 3W215, Washington, DC 20202. Telephone: (202) 401-0274 or by email: </w:t>
      </w:r>
      <w:hyperlink r:id="rId23" w:history="1">
        <w:r>
          <w:rPr>
            <w:rFonts w:ascii="arial" w:eastAsia="arial" w:hAnsi="arial" w:cs="arial"/>
            <w:b w:val="0"/>
            <w:i/>
            <w:strike w:val="0"/>
            <w:noProof w:val="0"/>
            <w:color w:val="0077CC"/>
            <w:position w:val="0"/>
            <w:sz w:val="20"/>
            <w:u w:val="single"/>
            <w:vertAlign w:val="baseline"/>
          </w:rPr>
          <w:t>john.cheek@ed.gov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use a TDD or a TTY, call the FRS, toll free, at 1-800-877-8339. </w:t>
      </w:r>
      <w:r>
        <w:rPr>
          <w:rFonts w:ascii="arial" w:eastAsia="arial" w:hAnsi="arial" w:cs="arial"/>
          <w:b/>
          <w:i w:val="0"/>
          <w:strike w:val="0"/>
          <w:noProof w:val="0"/>
          <w:color w:val="000000"/>
          <w:position w:val="0"/>
          <w:sz w:val="20"/>
          <w:u w:val="none"/>
          <w:vertAlign w:val="baseline"/>
        </w:rPr>
        <w:t> [*10239]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authority to perform the functions and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2016-04260 Filed 2-26-16;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10232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7-9550-008H-03K9-00000-00&amp;context=" TargetMode="External" /><Relationship Id="rId11" Type="http://schemas.openxmlformats.org/officeDocument/2006/relationships/hyperlink" Target="https://advance.lexis.com/api/document?collection=administrative-codes&amp;id=urn:contentItem:5BV6-FN90-006W-808J-00000-00&amp;context=" TargetMode="External" /><Relationship Id="rId12" Type="http://schemas.openxmlformats.org/officeDocument/2006/relationships/hyperlink" Target="http://www.hud.gov/promisezones" TargetMode="External" /><Relationship Id="rId13" Type="http://schemas.openxmlformats.org/officeDocument/2006/relationships/hyperlink" Target="https://advance.lexis.com/api/document?collection=administrative-codes&amp;id=urn:contentItem:5NM7-95C0-008H-0504-00000-00&amp;context=" TargetMode="External" /><Relationship Id="rId14" Type="http://schemas.openxmlformats.org/officeDocument/2006/relationships/hyperlink" Target="https://advance.lexis.com/api/document?collection=statutes-legislation&amp;id=urn:contentItem:5CD7-HSF0-01XN-S3SY-00000-00&amp;context=" TargetMode="External" /><Relationship Id="rId15" Type="http://schemas.openxmlformats.org/officeDocument/2006/relationships/hyperlink" Target="https://advance.lexis.com/api/document?collection=statutes-legislation&amp;id=urn:contentItem:4YF7-GT11-NRF4-4342-00000-00&amp;context=" TargetMode="External" /><Relationship Id="rId16" Type="http://schemas.openxmlformats.org/officeDocument/2006/relationships/hyperlink" Target="https://advance.lexis.com/api/document?collection=statutes-legislation&amp;id=urn:contentItem:4YF7-GW51-NRF4-439R-00000-00&amp;context=" TargetMode="External" /><Relationship Id="rId17" Type="http://schemas.openxmlformats.org/officeDocument/2006/relationships/hyperlink" Target="https://advance.lexis.com/api/document?collection=statutes-legislation&amp;id=urn:contentItem:4YF7-GJP1-NRF4-434D-00000-00&amp;context=" TargetMode="External" /><Relationship Id="rId18" Type="http://schemas.openxmlformats.org/officeDocument/2006/relationships/hyperlink" Target="https://advance.lexis.com/api/document?collection=statutes-legislation&amp;id=urn:contentItem:4YF7-GPP1-NRF4-40RS-00000-00&amp;context=" TargetMode="External" /><Relationship Id="rId19" Type="http://schemas.openxmlformats.org/officeDocument/2006/relationships/hyperlink" Target="https://advance.lexis.com/api/document?collection=statutes-legislation&amp;id=urn:contentItem:4YF7-GK51-NRF4-42FF-00000-00&amp;context=" TargetMode="External" /><Relationship Id="rId2" Type="http://schemas.openxmlformats.org/officeDocument/2006/relationships/webSettings" Target="webSettings.xml" /><Relationship Id="rId20" Type="http://schemas.openxmlformats.org/officeDocument/2006/relationships/hyperlink" Target="http://www.ed.gov/gund/grant/apply/grantapps/index.html"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mailto:John.Cheek@ed.gov" TargetMode="External" /><Relationship Id="rId24" Type="http://schemas.openxmlformats.org/officeDocument/2006/relationships/hyperlink" Target="http://www2.ed.gov/programs/indiandemo/applicant.html" TargetMode="External" /><Relationship Id="rId25" Type="http://schemas.openxmlformats.org/officeDocument/2006/relationships/hyperlink" Target="https://advance.lexis.com/api/document?collection=administrative-codes&amp;id=urn:contentItem:5G9C-N1H0-008H-002J-00000-00&amp;context=" TargetMode="External" /><Relationship Id="rId26" Type="http://schemas.openxmlformats.org/officeDocument/2006/relationships/hyperlink" Target="http://fedgov.dnb.com/webform" TargetMode="External" /><Relationship Id="rId27" Type="http://schemas.openxmlformats.org/officeDocument/2006/relationships/hyperlink" Target="http://www.SAM.gov" TargetMode="External" /><Relationship Id="rId28" Type="http://schemas.openxmlformats.org/officeDocument/2006/relationships/hyperlink" Target="http://www2.ed.gov/fund/grant/apply/sam-faqs.html" TargetMode="External" /><Relationship Id="rId29" Type="http://schemas.openxmlformats.org/officeDocument/2006/relationships/hyperlink" Target="http://www.grants.gov/web/grants/register.html" TargetMode="External" /><Relationship Id="rId3" Type="http://schemas.openxmlformats.org/officeDocument/2006/relationships/fontTable" Target="fontTable.xml" /><Relationship Id="rId30" Type="http://schemas.openxmlformats.org/officeDocument/2006/relationships/hyperlink" Target="http://www.Grants.gov" TargetMode="External" /><Relationship Id="rId31" Type="http://schemas.openxmlformats.org/officeDocument/2006/relationships/hyperlink" Target="http://www.G5.gov" TargetMode="External" /><Relationship Id="rId32" Type="http://schemas.openxmlformats.org/officeDocument/2006/relationships/hyperlink" Target="http://www.grants.gov/web/grants/applicants/apply-for-grants.html" TargetMode="External" /><Relationship Id="rId33" Type="http://schemas.openxmlformats.org/officeDocument/2006/relationships/hyperlink" Target="https://advance.lexis.com/api/document?collection=administrative-codes&amp;id=urn:contentItem:5S7T-7HS0-008H-02VY-00000-00&amp;context=" TargetMode="External" /><Relationship Id="rId34" Type="http://schemas.openxmlformats.org/officeDocument/2006/relationships/hyperlink" Target="https://advance.lexis.com/api/document?collection=administrative-codes&amp;id=urn:contentItem:5GMB-DPB0-008H-02JB-00000-00&amp;context=" TargetMode="External" /><Relationship Id="rId35" Type="http://schemas.openxmlformats.org/officeDocument/2006/relationships/hyperlink" Target="https://advance.lexis.com/api/document?collection=administrative-codes&amp;id=urn:contentItem:5GMB-DPB0-008H-02GP-00000-00&amp;context=" TargetMode="External" /><Relationship Id="rId36" Type="http://schemas.openxmlformats.org/officeDocument/2006/relationships/hyperlink" Target="https://advance.lexis.com/api/document?collection=administrative-codes&amp;id=urn:contentItem:5KS0-F5W0-008H-023P-00000-00&amp;context=" TargetMode="External" /><Relationship Id="rId37" Type="http://schemas.openxmlformats.org/officeDocument/2006/relationships/hyperlink" Target="https://advance.lexis.com/api/document?collection=administrative-codes&amp;id=urn:contentItem:5R5H-J1H0-008H-043K-00000-00&amp;context=" TargetMode="External" /><Relationship Id="rId38" Type="http://schemas.openxmlformats.org/officeDocument/2006/relationships/hyperlink" Target="https://advance.lexis.com/api/document?collection=administrative-codes&amp;id=urn:contentItem:5KS0-F5W0-008H-024V-00000-00&amp;context=" TargetMode="External" /><Relationship Id="rId39" Type="http://schemas.openxmlformats.org/officeDocument/2006/relationships/hyperlink" Target="https://advance.lexis.com/api/document?collection=administrative-codes&amp;id=urn:contentItem:5KS0-F600-008H-02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5B-00000-00&amp;context=" TargetMode="External" /><Relationship Id="rId41" Type="http://schemas.openxmlformats.org/officeDocument/2006/relationships/hyperlink" Target="https://advance.lexis.com/api/document?collection=administrative-codes&amp;id=urn:contentItem:5HDM-DHF0-008G-Y2NJ-00000-00&amp;context=" TargetMode="External" /><Relationship Id="rId42" Type="http://schemas.openxmlformats.org/officeDocument/2006/relationships/hyperlink" Target="https://advance.lexis.com/api/document?collection=administrative-codes&amp;id=urn:contentItem:5F34-Y1R0-008G-Y1F9-00000-00&amp;context=" TargetMode="External" /><Relationship Id="rId43" Type="http://schemas.openxmlformats.org/officeDocument/2006/relationships/hyperlink" Target="https://advance.lexis.com/api/document?collection=administrative-codes&amp;id=urn:contentItem:5F2R-48P0-008G-Y31V-00000-00&amp;context=" TargetMode="External" /><Relationship Id="rId44" Type="http://schemas.openxmlformats.org/officeDocument/2006/relationships/hyperlink" Target="https://advance.lexis.com/api/document?collection=administrative-codes&amp;id=urn:contentItem:5GMB-DPC0-008H-02S7-00000-00&amp;context=" TargetMode="External" /><Relationship Id="rId45" Type="http://schemas.openxmlformats.org/officeDocument/2006/relationships/hyperlink" Target="https://advance.lexis.com/api/document?collection=administrative-codes&amp;id=urn:contentItem:5GMB-DPC0-008H-02SK-00000-00&amp;context=" TargetMode="External" /><Relationship Id="rId46" Type="http://schemas.openxmlformats.org/officeDocument/2006/relationships/hyperlink" Target="http://www.ed.gov/fund/grant/apply/appforms/appforms.html" TargetMode="External" /><Relationship Id="rId47" Type="http://schemas.openxmlformats.org/officeDocument/2006/relationships/hyperlink" Target="https://advance.lexis.com/api/document?collection=administrative-codes&amp;id=urn:contentItem:5GMB-DPB0-008H-0272-00000-00&amp;context=" TargetMode="External" /><Relationship Id="rId48" Type="http://schemas.openxmlformats.org/officeDocument/2006/relationships/hyperlink" Target="https://advance.lexis.com/api/document?collection=administrative-codes&amp;id=urn:contentItem:5GMB-DPB0-008H-02K8-00000-00&amp;context=" TargetMode="External" /><Relationship Id="rId49" Type="http://schemas.openxmlformats.org/officeDocument/2006/relationships/hyperlink" Target="http://www.gpo.gov/fdsys" TargetMode="External" /><Relationship Id="rId5" Type="http://schemas.openxmlformats.org/officeDocument/2006/relationships/footer" Target="footer1.xml" /><Relationship Id="rId50" Type="http://schemas.openxmlformats.org/officeDocument/2006/relationships/hyperlink" Target="http://www.federalregister.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69-VCM0-006W-834V-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NM7-9550-008H-03K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