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10846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041, Wednesday, March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10846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Native American-Serving Nontribal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American-Serving Nontribal Institutions (NASNTI)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84.382C.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 2016. </w:t>
      </w:r>
      <w:r>
        <w:rPr>
          <w:rFonts w:ascii="arial" w:eastAsia="arial" w:hAnsi="arial" w:cs="arial"/>
          <w:b/>
          <w:i w:val="0"/>
          <w:strike w:val="0"/>
          <w:noProof w:val="0"/>
          <w:color w:val="000000"/>
          <w:position w:val="0"/>
          <w:sz w:val="20"/>
          <w:u w:val="none"/>
          <w:vertAlign w:val="baseline"/>
        </w:rPr>
        <w:t> [*10847]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NASNTI Program provides grants to eligible institutions of higher education (IHEs) that have an undergraduate enrollment of at least 10 percent Native American students to assist such institutions to plan, develop, undertake, and carry out activities to improve and expand such institutions' capacity to serve Native American and low-income individuals. The program is authorized under section 371 of the Higher Education Act of 1965, as amended.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is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In accordance with </w:t>
      </w:r>
      <w:hyperlink r:id="rId9"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w:t>
      </w:r>
      <w:hyperlink r:id="rId10"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that are designed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Learning environments;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Disconnected youth or migrant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Low-skilled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Students who are members of federally recognized Indian tribes.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Applicants may address only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must clearly indicate in their application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they are addressing. Applicants that apply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but whose applications do not meet the moderate evidence of effectiveness standard, may still be considered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to determine whether their applications meet the evidence of promise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(One additional point) Applications supported by evidence of effectiveness that meets the conditions set out in the definition of "evidence of promise."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(Three additional points) Applications supported by evidence of effectiveness that meets the conditions set out in the definition of "moderate evidence of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9"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support activities that strengthen Native American language preservation and revitalization.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Disconnected youth</w:t>
      </w:r>
      <w:r>
        <w:rPr>
          <w:rFonts w:ascii="arial" w:eastAsia="arial" w:hAnsi="arial" w:cs="arial"/>
          <w:b w:val="0"/>
          <w:i w:val="0"/>
          <w:strike w:val="0"/>
          <w:noProof w:val="0"/>
          <w:color w:val="000000"/>
          <w:position w:val="0"/>
          <w:sz w:val="20"/>
          <w:u w:val="none"/>
          <w:vertAlign w:val="baseline"/>
        </w:rPr>
        <w:t xml:space="preserve"> means low-income individuals, ages 14-24, who are homeless, are in foster care, are involved in the justice system, or are not working or enrolled in (or at risk of dropping out of) an educational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(ESEA).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Low-skilled adult</w:t>
      </w:r>
      <w:r>
        <w:rPr>
          <w:rFonts w:ascii="arial" w:eastAsia="arial" w:hAnsi="arial" w:cs="arial"/>
          <w:b w:val="0"/>
          <w:i w:val="0"/>
          <w:strike w:val="0"/>
          <w:noProof w:val="0"/>
          <w:color w:val="000000"/>
          <w:position w:val="0"/>
          <w:sz w:val="20"/>
          <w:u w:val="none"/>
          <w:vertAlign w:val="baseline"/>
        </w:rPr>
        <w:t xml:space="preserve"> means an adult with low literacy and numeracy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w:t>
      </w:r>
      <w:r>
        <w:rPr>
          <w:rFonts w:ascii="arial" w:eastAsia="arial" w:hAnsi="arial" w:cs="arial"/>
          <w:b/>
          <w:i w:val="0"/>
          <w:strike w:val="0"/>
          <w:noProof w:val="0"/>
          <w:color w:val="000000"/>
          <w:position w:val="0"/>
          <w:sz w:val="20"/>
          <w:u w:val="none"/>
          <w:vertAlign w:val="baseline"/>
        </w:rPr>
        <w:t> [*10848] </w:t>
      </w:r>
      <w:r>
        <w:rPr>
          <w:rFonts w:ascii="arial" w:eastAsia="arial" w:hAnsi="arial" w:cs="arial"/>
          <w:b w:val="0"/>
          <w:i w:val="0"/>
          <w:strike w:val="0"/>
          <w:noProof w:val="0"/>
          <w:color w:val="000000"/>
          <w:position w:val="0"/>
          <w:sz w:val="20"/>
          <w:u w:val="none"/>
          <w:vertAlign w:val="baseline"/>
        </w:rPr>
        <w:t xml:space="preserve">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of the 50 States, the Commonwealth of Puerto Rico, the District of Columbia, Guam, American Samoa, the Virgin Islands, the Northern Mariana Islands, or the Trust Territory of the Pacific Islands.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2"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1067q</w:t>
        </w:r>
      </w:hyperlink>
      <w:r>
        <w:rPr>
          <w:rFonts w:ascii="arial" w:eastAsia="arial" w:hAnsi="arial" w:cs="arial"/>
          <w:b w:val="0"/>
          <w:i w:val="0"/>
          <w:strike w:val="0"/>
          <w:noProof w:val="0"/>
          <w:color w:val="000000"/>
          <w:position w:val="0"/>
          <w:sz w:val="20"/>
          <w:u w:val="none"/>
          <w:vertAlign w:val="baseline"/>
        </w:rPr>
        <w:t>(a)(7) and (b)(2)(D)(iv).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$ 4,635,000.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$ 300,000-$ 350,000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$ 325,000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$ 350,000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IHE is eligible to receive funds under the NASNTI Program if it qualifies as a Native American-Serving Nontribal Institution. At the time of application, IHEs applying for funds under the NASNTI Program must have an enrollment of undergraduate students that is at least 10 percent Native American, as defined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American</w:t>
      </w:r>
      <w:r>
        <w:rPr>
          <w:rFonts w:ascii="arial" w:eastAsia="arial" w:hAnsi="arial" w:cs="arial"/>
          <w:b w:val="0"/>
          <w:i w:val="0"/>
          <w:strike w:val="0"/>
          <w:noProof w:val="0"/>
          <w:color w:val="000000"/>
          <w:position w:val="0"/>
          <w:sz w:val="20"/>
          <w:u w:val="none"/>
          <w:vertAlign w:val="baseline"/>
        </w:rPr>
        <w:t xml:space="preserve"> means a person who is of a tribe, people, or culture that is indigenous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submission of their applications, applicants must certify their total undergraduate headcount enrollment and that 10 percent of the IHE's enrollment is Native American. An assurance form, which is included in the application materials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must be signed by an official for the applicant and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an eligible institution under the NASNTI Program, an institution must also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Accredited or pre-accredited by a nationally recognized accrediting agency or association that the Secretary has determined to be a reliable authority as to the quality of education or training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Legally authorized by the State in which it is located to be a community college or to provide an educational program for which it awards a bachelor's degree;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Designated as an "eligible institution" by demonstrating that it has: (i) An enrollment of needy students as described in </w:t>
      </w:r>
      <w:hyperlink r:id="rId14" w:history="1">
        <w:r>
          <w:rPr>
            <w:rFonts w:ascii="arial" w:eastAsia="arial" w:hAnsi="arial" w:cs="arial"/>
            <w:b w:val="0"/>
            <w:i/>
            <w:strike w:val="0"/>
            <w:noProof w:val="0"/>
            <w:color w:val="0077CC"/>
            <w:position w:val="0"/>
            <w:sz w:val="20"/>
            <w:u w:val="single"/>
            <w:vertAlign w:val="baseline"/>
          </w:rPr>
          <w:t>34 CFR 607.3</w:t>
        </w:r>
      </w:hyperlink>
      <w:r>
        <w:rPr>
          <w:rFonts w:ascii="arial" w:eastAsia="arial" w:hAnsi="arial" w:cs="arial"/>
          <w:b w:val="0"/>
          <w:i w:val="0"/>
          <w:strike w:val="0"/>
          <w:noProof w:val="0"/>
          <w:color w:val="000000"/>
          <w:position w:val="0"/>
          <w:sz w:val="20"/>
          <w:u w:val="none"/>
          <w:vertAlign w:val="baseline"/>
        </w:rPr>
        <w:t xml:space="preserve">; and (ii) low average educational and general expenditures per full-time equivalent (FTE) undergraduate student as described in </w:t>
      </w:r>
      <w:hyperlink r:id="rId15" w:history="1">
        <w:r>
          <w:rPr>
            <w:rFonts w:ascii="arial" w:eastAsia="arial" w:hAnsi="arial" w:cs="arial"/>
            <w:b w:val="0"/>
            <w:i/>
            <w:strike w:val="0"/>
            <w:noProof w:val="0"/>
            <w:color w:val="0077CC"/>
            <w:position w:val="0"/>
            <w:sz w:val="20"/>
            <w:u w:val="single"/>
            <w:vertAlign w:val="baseline"/>
          </w:rPr>
          <w:t>34 CFR 607.4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notice announcing the FY 2016 process for designation of eligible institutions, and inviting applications for waiver of eligibility requirements,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2015 </w:t>
      </w:r>
      <w:r>
        <w:rPr>
          <w:rFonts w:ascii="arial" w:eastAsia="arial" w:hAnsi="arial" w:cs="arial"/>
          <w:b w:val="0"/>
          <w:i/>
          <w:strike w:val="0"/>
          <w:noProof w:val="0"/>
          <w:color w:val="000000"/>
          <w:position w:val="0"/>
          <w:sz w:val="20"/>
          <w:u w:val="none"/>
          <w:vertAlign w:val="baseline"/>
        </w:rPr>
        <w:t>(80 FR 72422).</w:t>
      </w:r>
      <w:r>
        <w:rPr>
          <w:rFonts w:ascii="arial" w:eastAsia="arial" w:hAnsi="arial" w:cs="arial"/>
          <w:b w:val="0"/>
          <w:i w:val="0"/>
          <w:strike w:val="0"/>
          <w:noProof w:val="0"/>
          <w:color w:val="000000"/>
          <w:position w:val="0"/>
          <w:sz w:val="20"/>
          <w:u w:val="none"/>
          <w:vertAlign w:val="baseline"/>
        </w:rPr>
        <w:t xml:space="preserve"> Only institutions that the Department determines are eligible, or which are granted a waiver, may apply for a grant in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unless funds are used for an endowment.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 Crews, U.S. Department of Education, 400 Maryland Avenue SW., Room 7E311, Washington, DC 20202. You may contact these individuals at the following email addresses or telephone numbers: </w:t>
      </w:r>
      <w:hyperlink r:id="rId16" w:history="1">
        <w:r>
          <w:rPr>
            <w:rFonts w:ascii="arial" w:eastAsia="arial" w:hAnsi="arial" w:cs="arial"/>
            <w:b w:val="0"/>
            <w:i/>
            <w:strike w:val="0"/>
            <w:noProof w:val="0"/>
            <w:color w:val="0077CC"/>
            <w:position w:val="0"/>
            <w:sz w:val="20"/>
            <w:u w:val="single"/>
            <w:vertAlign w:val="baseline"/>
          </w:rPr>
          <w:t>Don.Crews@ed.gov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453-7920.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an application via the Internet using the following address: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w:t>
      </w:r>
      <w:r>
        <w:rPr>
          <w:rFonts w:ascii="arial" w:eastAsia="arial" w:hAnsi="arial" w:cs="arial"/>
          <w:b/>
          <w:i w:val="0"/>
          <w:strike w:val="0"/>
          <w:noProof w:val="0"/>
          <w:color w:val="000000"/>
          <w:position w:val="0"/>
          <w:sz w:val="20"/>
          <w:u w:val="none"/>
          <w:vertAlign w:val="baseline"/>
        </w:rPr>
        <w:t> [*10849] </w:t>
      </w:r>
      <w:r>
        <w:rPr>
          <w:rFonts w:ascii="arial" w:eastAsia="arial" w:hAnsi="arial" w:cs="arial"/>
          <w:b w:val="0"/>
          <w:i w:val="0"/>
          <w:strike w:val="0"/>
          <w:noProof w:val="0"/>
          <w:color w:val="000000"/>
          <w:position w:val="0"/>
          <w:sz w:val="20"/>
          <w:u w:val="none"/>
          <w:vertAlign w:val="baseline"/>
        </w:rPr>
        <w:t xml:space="preserve"> by contacting one of the program contact people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the absolute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invitational priority that reviewers use to evaluate your application. We have established mandatory page limits. You must limit the section of the application narrative that addresses: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criteria to no more than 50 pages.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absolute priority to no morethan three pages.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no more than three pages, if you address one.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invitational priority to no more than two pages, if you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no circumstances may the application narrative exceed 58 pages. Include a separate heading for each priority that you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compliance with the page limits, each page on which there are words will be counted as one full page. Applicants must use the following standards: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and captions and all text in charts, tables, figures, and graphs. These items may be single-spaced. Charts, tables, figures, and graphs in the application narrative count toward the page limits.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the Application for Federal Assistance (SF 424); the Supplemental Information for SF 424 Form; the Budget Information Summary Form (ED Form 524) and Budget Narrative; and the assurances and certifications. The page limit also does not apply to the table of contents, the one-page abstract, the resumes, the bibliography, the letters of support, program profile, or the studies. If you include any attachments or appendices, these items will be counted as part of the application narrative for purposes of the page-limit requirement. You must include your complete response to the selection criteria and priorities in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one of the program contact people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w:t>
      </w:r>
      <w:r>
        <w:rPr>
          <w:rFonts w:ascii="arial" w:eastAsia="arial" w:hAnsi="arial" w:cs="arial"/>
          <w:b/>
          <w:i w:val="0"/>
          <w:strike w:val="0"/>
          <w:noProof w:val="0"/>
          <w:color w:val="000000"/>
          <w:position w:val="0"/>
          <w:sz w:val="20"/>
          <w:u w:val="none"/>
          <w:vertAlign w:val="baseline"/>
        </w:rPr>
        <w:t> [*10850] </w:t>
      </w:r>
      <w:r>
        <w:rPr>
          <w:rFonts w:ascii="arial" w:eastAsia="arial" w:hAnsi="arial" w:cs="arial"/>
          <w:b w:val="0"/>
          <w:i w:val="0"/>
          <w:strike w:val="0"/>
          <w:noProof w:val="0"/>
          <w:color w:val="000000"/>
          <w:position w:val="0"/>
          <w:sz w:val="20"/>
          <w:u w:val="none"/>
          <w:vertAlign w:val="baseline"/>
        </w:rPr>
        <w:t xml:space="preserve"> Grants.gov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 NASNTI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NASNTI Program, CFDA number 84.382C, must be submitted electronically using the Governmentwide Grants.gov Apply site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NASNTI Program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84.382, not 84.382C).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Grants.gov system, we will grant you an extension until 4:30:00 p.m., Washington, DC time, the following business day to enable you to transmit </w:t>
      </w:r>
      <w:r>
        <w:rPr>
          <w:rFonts w:ascii="arial" w:eastAsia="arial" w:hAnsi="arial" w:cs="arial"/>
          <w:b/>
          <w:i w:val="0"/>
          <w:strike w:val="0"/>
          <w:noProof w:val="0"/>
          <w:color w:val="000000"/>
          <w:position w:val="0"/>
          <w:sz w:val="20"/>
          <w:u w:val="none"/>
          <w:vertAlign w:val="baseline"/>
        </w:rPr>
        <w:t> [*10851] </w:t>
      </w:r>
      <w:r>
        <w:rPr>
          <w:rFonts w:ascii="arial" w:eastAsia="arial" w:hAnsi="arial" w:cs="arial"/>
          <w:b w:val="0"/>
          <w:i w:val="0"/>
          <w:strike w:val="0"/>
          <w:noProof w:val="0"/>
          <w:color w:val="000000"/>
          <w:position w:val="0"/>
          <w:sz w:val="20"/>
          <w:u w:val="none"/>
          <w:vertAlign w:val="baseline"/>
        </w:rPr>
        <w:t xml:space="preserve">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one of the program contact people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Don Crews, U.S. Department of Education, 400 Maryland Avenue SW., Room 7E311, Washington, DC 20202. FAX: (202) 205-0063.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84.382C)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84.382C)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We will award up to 100 points to an application under the selection criteria; the total possible points for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(Maximum 25 points) The Secretary considers the need for the proposed project. In determining the need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of the need for the services to be provided or the activities to be carried out by the proposed project.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will focus on serving or otherwise addressing the needs of disadvantaged individuals.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specific gaps or weaknesses in services, infrastructure, or opportunities have been identified and will be addressed by the proposed project, including the nature and magnitude of those gaps or weaknesses.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20 points) The Secretary considers the quality of the design of the proposed project. In determining the quality of the design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of the proposed project is appropriate to, and will successfully address, the needs of the target population or other identified needs.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services to be provided by the proposed project. In determining the quality of the services to be provided by the proposed project, the Secretary considers the quality and sufficiency of strategies for ensuring equal access and treatment for eligible </w:t>
      </w:r>
      <w:r>
        <w:rPr>
          <w:rFonts w:ascii="arial" w:eastAsia="arial" w:hAnsi="arial" w:cs="arial"/>
          <w:b/>
          <w:i w:val="0"/>
          <w:strike w:val="0"/>
          <w:noProof w:val="0"/>
          <w:color w:val="000000"/>
          <w:position w:val="0"/>
          <w:sz w:val="20"/>
          <w:u w:val="none"/>
          <w:vertAlign w:val="baseline"/>
        </w:rPr>
        <w:t> [*10852] </w:t>
      </w:r>
      <w:r>
        <w:rPr>
          <w:rFonts w:ascii="arial" w:eastAsia="arial" w:hAnsi="arial" w:cs="arial"/>
          <w:b w:val="0"/>
          <w:i w:val="0"/>
          <w:strike w:val="0"/>
          <w:noProof w:val="0"/>
          <w:color w:val="000000"/>
          <w:position w:val="0"/>
          <w:sz w:val="20"/>
          <w:u w:val="none"/>
          <w:vertAlign w:val="baseline"/>
        </w:rPr>
        <w:t xml:space="preserve"> project participants who are members of groups that have traditionally been underrepresented based on race, color, national origin, gender, age, or disability. In addition,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services to be provided by the proposed project are appropriate to the needs of the intended recipients or beneficiaries of those services.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services to be provided by the proposed project reflect up-to-date knowledge from research and effective practice.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the project director or principal investigator.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(Maximum 5 points) The Secretary considers the adequacy of resources for the proposed project. In determining the adequacy of resources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budget is adequate to support the proposed project.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objectives, design, and potential significance of the proposed project.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(Maximum 15 points) The Secretary considers the quality of the management plan for the proposed project. In determining the quality of the management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procedures for ensuring feedback and continuous improvement in the operation of the proposed project.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mechanisms for ensuring high-quality products and services from the proposed project.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(Maximum 15 points) The Secretary considers the quality of the evaluation to be conducted of the proposed project.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include the use of objective performance measures that are clearly related to the intended outcomes of the project and will produce quantitative and qualitative data to the extent possible.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performance feedback and permit periodic assessment of progress toward achieving intended outcomes.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Awards will be made in rank order according to the average score received from a panel of three readers.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Tie-breaker for Grants.</w:t>
      </w:r>
      <w:r>
        <w:rPr>
          <w:rFonts w:ascii="arial" w:eastAsia="arial" w:hAnsi="arial" w:cs="arial"/>
          <w:b w:val="0"/>
          <w:i w:val="0"/>
          <w:strike w:val="0"/>
          <w:noProof w:val="0"/>
          <w:color w:val="000000"/>
          <w:position w:val="0"/>
          <w:sz w:val="20"/>
          <w:u w:val="none"/>
          <w:vertAlign w:val="baseline"/>
        </w:rPr>
        <w:t xml:space="preserve"> To resolve ties in the reader scores of applications for grants, the Department will award one additional point to an application from an IHE that has an endowment fund for which the current market value, per FTE enrolled student, is less than the average current market value of the endowment funds, per FTE enrolled student, at comparable institutions that offer similar instruction. In addition, to resolve ties in the reader scores of applications for grants, the Department will award one additional point to an application from an IHE that has expenditures for library materials per FTE enrolled student that are less than the average expenditures for library materials per FTE enrolled student at comparable institutions that offer similar instruction. We also will add one additional point to an application from an IHE that proposes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Faculty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Funds and administrative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Development and improvement of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Acquisition of equipment for use in strengthening management and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Joint use of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Student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these funding considerations, we will use the most recent complete data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FY 2016, we will use 2013-2014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to applicants that have the lowest endowment values per FTE enrolled student.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w:t>
      </w:r>
      <w:r>
        <w:rPr>
          <w:rFonts w:ascii="arial" w:eastAsia="arial" w:hAnsi="arial" w:cs="arial"/>
          <w:b/>
          <w:i w:val="0"/>
          <w:strike w:val="0"/>
          <w:noProof w:val="0"/>
          <w:color w:val="000000"/>
          <w:position w:val="0"/>
          <w:sz w:val="20"/>
          <w:u w:val="none"/>
          <w:vertAlign w:val="baseline"/>
        </w:rPr>
        <w:t> [*10853] </w:t>
      </w:r>
      <w:r>
        <w:rPr>
          <w:rFonts w:ascii="arial" w:eastAsia="arial" w:hAnsi="arial" w:cs="arial"/>
          <w:b w:val="0"/>
          <w:i w:val="0"/>
          <w:strike w:val="0"/>
          <w:noProof w:val="0"/>
          <w:color w:val="000000"/>
          <w:position w:val="0"/>
          <w:sz w:val="20"/>
          <w:u w:val="none"/>
          <w:vertAlign w:val="baseline"/>
        </w:rPr>
        <w:t xml:space="preserv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NASNTI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a five-year period, of the number of full-time, degree-seeking undergraduates enrolling at NASNTIs. Note that this is a long-term measure, which will be used to periodically gauge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first-time, full-time degree-seeking undergraduate students at four-year NASNTIs who were in their first year of postsecondary enrollment in the previous year and are enrolled in the current year at the same NASNTI;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first-time, full-time degree-seeking undergraduate students at two-year NASNTIs who were in their first year of postsecondary enrollment in the previous year and are enrolled in the current year at the same NASNTI;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first-time, full-time degree-seeking undergraduate students enrolled at four-year NASNTIs who graduate within six years of enrollment;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first-time, full-time degree-seeking undergraduate students enrolled at two-year NASNTIs who graduate within three years of enrollment.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Don Crews, U.S. Department of Education, 400 Maryland Avenue SW., Room 7E311, Washington, DC 20202. You may contact this individual at the following email address or telephone number: </w:t>
      </w:r>
      <w:hyperlink r:id="rId16" w:history="1">
        <w:r>
          <w:rPr>
            <w:rFonts w:ascii="arial" w:eastAsia="arial" w:hAnsi="arial" w:cs="arial"/>
            <w:b w:val="0"/>
            <w:i/>
            <w:strike w:val="0"/>
            <w:noProof w:val="0"/>
            <w:color w:val="0077CC"/>
            <w:position w:val="0"/>
            <w:sz w:val="20"/>
            <w:u w:val="single"/>
            <w:vertAlign w:val="baseline"/>
          </w:rPr>
          <w:t>Don.Crews@ed.gov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453-7920. 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2016-04593 Filed 3-1-16;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10846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5K-6FW0-008H-0340-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ies.ed.gov/ncee/wwc/DocumentSum.aspx?sid=19" TargetMode="External" /><Relationship Id="rId13" Type="http://schemas.openxmlformats.org/officeDocument/2006/relationships/hyperlink" Target="https://advance.lexis.com/api/document?collection=statutes-legislation&amp;id=urn:contentItem:4YF7-GSN1-NRF4-44N8-00000-00&amp;context=" TargetMode="External" /><Relationship Id="rId14" Type="http://schemas.openxmlformats.org/officeDocument/2006/relationships/hyperlink" Target="https://advance.lexis.com/api/document?collection=administrative-codes&amp;id=urn:contentItem:5RWB-NH10-008H-04GR-00000-00&amp;context=" TargetMode="External" /><Relationship Id="rId15" Type="http://schemas.openxmlformats.org/officeDocument/2006/relationships/hyperlink" Target="https://advance.lexis.com/api/document?collection=administrative-codes&amp;id=urn:contentItem:5RWB-NH00-008H-040N-00000-00&amp;context=" TargetMode="External" /><Relationship Id="rId16" Type="http://schemas.openxmlformats.org/officeDocument/2006/relationships/hyperlink" Target="mailto:Don.Crews@ed.gov" TargetMode="External" /><Relationship Id="rId17" Type="http://schemas.openxmlformats.org/officeDocument/2006/relationships/hyperlink" Target="http://www.Grants.gov"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5.gov" TargetMode="External" /><Relationship Id="rId22" Type="http://schemas.openxmlformats.org/officeDocument/2006/relationships/hyperlink" Target="http://www.grants.gov/web/grants/applicants/apply-for-grants.html" TargetMode="External" /><Relationship Id="rId23" Type="http://schemas.openxmlformats.org/officeDocument/2006/relationships/hyperlink" Target="https://advance.lexis.com/api/document?collection=administrative-codes&amp;id=urn:contentItem:5S7T-7HS0-008H-02VY-00000-00&amp;context=" TargetMode="External" /><Relationship Id="rId24" Type="http://schemas.openxmlformats.org/officeDocument/2006/relationships/hyperlink" Target="https://advance.lexis.com/api/document?collection=administrative-codes&amp;id=urn:contentItem:5GMB-DPB0-008H-02GP-00000-00&amp;context=" TargetMode="External" /><Relationship Id="rId25" Type="http://schemas.openxmlformats.org/officeDocument/2006/relationships/hyperlink" Target="https://advance.lexis.com/api/document?collection=administrative-codes&amp;id=urn:contentItem:5KS0-F5W0-008H-023P-00000-00&amp;context=" TargetMode="External" /><Relationship Id="rId26" Type="http://schemas.openxmlformats.org/officeDocument/2006/relationships/hyperlink" Target="https://advance.lexis.com/api/document?collection=administrative-codes&amp;id=urn:contentItem:5R5H-J1H0-008H-043K-00000-00&amp;context=" TargetMode="External" /><Relationship Id="rId27" Type="http://schemas.openxmlformats.org/officeDocument/2006/relationships/hyperlink" Target="https://advance.lexis.com/api/document?collection=administrative-codes&amp;id=urn:contentItem:5KS0-F5W0-008H-024V-00000-00&amp;context=" TargetMode="External" /><Relationship Id="rId28" Type="http://schemas.openxmlformats.org/officeDocument/2006/relationships/hyperlink" Target="https://advance.lexis.com/api/document?collection=administrative-codes&amp;id=urn:contentItem:5KS0-F600-008H-02PT-00000-00&amp;context=" TargetMode="External" /><Relationship Id="rId29" Type="http://schemas.openxmlformats.org/officeDocument/2006/relationships/hyperlink" Target="https://advance.lexis.com/api/document?collection=administrative-codes&amp;id=urn:contentItem:5KS0-F5W0-008H-025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DM-DHF0-008G-Y2NJ-00000-00&amp;context=" TargetMode="External" /><Relationship Id="rId31" Type="http://schemas.openxmlformats.org/officeDocument/2006/relationships/hyperlink" Target="https://advance.lexis.com/api/document?collection=administrative-codes&amp;id=urn:contentItem:5F34-Y1R0-008G-Y1F9-00000-00&amp;context=" TargetMode="External" /><Relationship Id="rId32" Type="http://schemas.openxmlformats.org/officeDocument/2006/relationships/hyperlink" Target="https://advance.lexis.com/api/document?collection=administrative-codes&amp;id=urn:contentItem:5F2R-48P0-008G-Y31V-00000-00&amp;context=" TargetMode="External" /><Relationship Id="rId33" Type="http://schemas.openxmlformats.org/officeDocument/2006/relationships/hyperlink" Target="https://advance.lexis.com/api/document?collection=administrative-codes&amp;id=urn:contentItem:5GMB-DPC0-008H-02S7-00000-00&amp;context=" TargetMode="External" /><Relationship Id="rId34" Type="http://schemas.openxmlformats.org/officeDocument/2006/relationships/hyperlink" Target="https://advance.lexis.com/api/document?collection=administrative-codes&amp;id=urn:contentItem:5GMB-DPC0-008H-02SK-00000-00&amp;context=" TargetMode="External" /><Relationship Id="rId35" Type="http://schemas.openxmlformats.org/officeDocument/2006/relationships/hyperlink" Target="http://www.ed.gov/fund/grant/apply/appforms/appforms.html" TargetMode="External" /><Relationship Id="rId36" Type="http://schemas.openxmlformats.org/officeDocument/2006/relationships/hyperlink" Target="https://advance.lexis.com/api/document?collection=administrative-codes&amp;id=urn:contentItem:5GMB-DPB0-008H-02K8-00000-00&amp;context=" TargetMode="External" /><Relationship Id="rId37" Type="http://schemas.openxmlformats.org/officeDocument/2006/relationships/hyperlink" Target="http://www.gpo.gov/fdsys" TargetMode="External" /><Relationship Id="rId38" Type="http://schemas.openxmlformats.org/officeDocument/2006/relationships/hyperlink" Target="http://www.federalregister.gov"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6S-NKD0-006W-83FT-00000-00&amp;context=" TargetMode="External" /><Relationship Id="rId8" Type="http://schemas.openxmlformats.org/officeDocument/2006/relationships/hyperlink" Target="https://advance.lexis.com/api/document?collection=administrative-codes&amp;id=urn:contentItem:5DT7-0130-006W-81YP-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