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11532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043, Friday, March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11532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Hispanic-Serving Institutions STEM and Articulation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Hispanic-Serving Institutions STEM and Articulation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84.031C.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periodically check the HSI Program Web site for information regarding pre-application technical assistance workshops and webinars. The address is: </w:t>
      </w:r>
      <w:hyperlink r:id="rId8" w:history="1">
        <w:r>
          <w:rPr>
            <w:rFonts w:ascii="arial" w:eastAsia="arial" w:hAnsi="arial" w:cs="arial"/>
            <w:b w:val="0"/>
            <w:i/>
            <w:strike w:val="0"/>
            <w:noProof w:val="0"/>
            <w:color w:val="0077CC"/>
            <w:position w:val="0"/>
            <w:sz w:val="20"/>
            <w:u w:val="single"/>
            <w:vertAlign w:val="baseline"/>
          </w:rPr>
          <w:t>www.ed.gov/programs/idueshsi/index.html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one of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Planning and Innovation Delegated the Duties of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2016-04868 Filed 3-3-16;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Hispanic-Serving Institutions STEM and Articulation Program supports eligible Hispanic-Serving institutions (as defined in section 502 of the Higher Education Act of 1965, as amended (HEA) </w:t>
      </w:r>
      <w:hyperlink r:id="rId11"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 xml:space="preserve"> (HSIs) in developing and carrying out activities described in section 503(b) of the HEA </w:t>
      </w:r>
      <w:hyperlink r:id="rId12" w:history="1">
        <w:r>
          <w:rPr>
            <w:rFonts w:ascii="arial" w:eastAsia="arial" w:hAnsi="arial" w:cs="arial"/>
            <w:b w:val="0"/>
            <w:i/>
            <w:strike w:val="0"/>
            <w:noProof w:val="0"/>
            <w:color w:val="0077CC"/>
            <w:position w:val="0"/>
            <w:sz w:val="20"/>
            <w:u w:val="single"/>
            <w:vertAlign w:val="baseline"/>
          </w:rPr>
          <w:t>(20 U.S.C. 1101b</w:t>
        </w:r>
      </w:hyperlink>
      <w:r>
        <w:rPr>
          <w:rFonts w:ascii="arial" w:eastAsia="arial" w:hAnsi="arial" w:cs="arial"/>
          <w:b w:val="0"/>
          <w:i w:val="0"/>
          <w:strike w:val="0"/>
          <w:noProof w:val="0"/>
          <w:color w:val="000000"/>
          <w:position w:val="0"/>
          <w:sz w:val="20"/>
          <w:u w:val="none"/>
          <w:vertAlign w:val="baseline"/>
        </w:rPr>
        <w:t>(b)) to increase the number of Hispanic and low-income students attaining degrees in the fields of science, technology, engineering, and math (STEM).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Given the growth in the Hispanic population, taking steps to increase the number of Hispanic students with STEM credentials is critical to the future workforce and economy of the United States. Data from the U.S. Bureau of Labor Statistics n1 project that jobs in occupations related to STEM will grow to more than nine million between 2012 and 2022. This represents an increase of about one million jobs over 2012 employment levels. Additionally, the U.S. Census Bureau reports that Latinos accounted for just 6.5 percent of the STEM workforce in 2011, even though they made up about 17 percent of the U.S. population. The number of Hispanic students graduating with a postsecondary degree has increased in recent years; however, these students continue to be significantly underrepresented in the total number of students earning STEM credentials. In 2013 Hispanic students accounted for nine percent of students earning STEM degrees and certificates, with the majority of such Hispanic students coming from HSIs.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Vilorio, D. (2014, March). STEM 101: Intro to tomorrow's jobs. </w:t>
      </w:r>
      <w:r>
        <w:rPr>
          <w:rFonts w:ascii="arial" w:eastAsia="arial" w:hAnsi="arial" w:cs="arial"/>
          <w:b w:val="0"/>
          <w:i/>
          <w:strike w:val="0"/>
          <w:noProof w:val="0"/>
          <w:color w:val="000000"/>
          <w:position w:val="0"/>
          <w:sz w:val="20"/>
          <w:u w:val="none"/>
          <w:vertAlign w:val="baseline"/>
        </w:rPr>
        <w:t>Occupational Outlook Quarterly.</w:t>
      </w:r>
      <w:r>
        <w:rPr>
          <w:rFonts w:ascii="arial" w:eastAsia="arial" w:hAnsi="arial" w:cs="arial"/>
          <w:b w:val="0"/>
          <w:i w:val="0"/>
          <w:strike w:val="0"/>
          <w:noProof w:val="0"/>
          <w:color w:val="000000"/>
          <w:position w:val="0"/>
          <w:sz w:val="20"/>
          <w:u w:val="none"/>
          <w:vertAlign w:val="baseline"/>
        </w:rPr>
        <w:t xml:space="preserve"> Retrieved from </w:t>
      </w:r>
      <w:hyperlink r:id="rId13" w:history="1">
        <w:r>
          <w:rPr>
            <w:rFonts w:ascii="arial" w:eastAsia="arial" w:hAnsi="arial" w:cs="arial"/>
            <w:b w:val="0"/>
            <w:i/>
            <w:strike w:val="0"/>
            <w:noProof w:val="0"/>
            <w:color w:val="0077CC"/>
            <w:position w:val="0"/>
            <w:sz w:val="20"/>
            <w:u w:val="single"/>
            <w:vertAlign w:val="baseline"/>
          </w:rPr>
          <w:t>www.bls.gov/careeroutlook/2014/spring/art01.pdf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Excelencia in Education.</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Finding Your Workforce: Latinos in Science, Technology, Engineering, and Math (STEM).</w:t>
      </w:r>
      <w:r>
        <w:rPr>
          <w:rFonts w:ascii="arial" w:eastAsia="arial" w:hAnsi="arial" w:cs="arial"/>
          <w:b w:val="0"/>
          <w:i w:val="0"/>
          <w:strike w:val="0"/>
          <w:noProof w:val="0"/>
          <w:color w:val="000000"/>
          <w:position w:val="0"/>
          <w:sz w:val="20"/>
          <w:u w:val="none"/>
          <w:vertAlign w:val="baseline"/>
        </w:rPr>
        <w:t xml:space="preserve"> Washington, DC: </w:t>
      </w:r>
      <w:r>
        <w:rPr>
          <w:rFonts w:ascii="arial" w:eastAsia="arial" w:hAnsi="arial" w:cs="arial"/>
          <w:b w:val="0"/>
          <w:i/>
          <w:strike w:val="0"/>
          <w:noProof w:val="0"/>
          <w:color w:val="000000"/>
          <w:position w:val="0"/>
          <w:sz w:val="20"/>
          <w:u w:val="none"/>
          <w:vertAlign w:val="baseline"/>
        </w:rPr>
        <w:t>Excelencia</w:t>
      </w:r>
      <w:r>
        <w:rPr>
          <w:rFonts w:ascii="arial" w:eastAsia="arial" w:hAnsi="arial" w:cs="arial"/>
          <w:b w:val="0"/>
          <w:i w:val="0"/>
          <w:strike w:val="0"/>
          <w:noProof w:val="0"/>
          <w:color w:val="000000"/>
          <w:position w:val="0"/>
          <w:sz w:val="20"/>
          <w:u w:val="none"/>
          <w:vertAlign w:val="baseline"/>
        </w:rPr>
        <w:t xml:space="preserve"> in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data demonstrate the need for comprehensive support programs that promote educational opportunities in STEM fields for Hispanics. The Department has promoted college retention, affordability, and completion, especially for minority and low-income students, through various policy initiatives.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specifically acknowledges the importance of student-centered programs that will increase the number of Hispanic and low-income students who graduate with degrees in STEM fields, as well as the need to promote strong articulation and transfer models, leading to more transfer students attaining STEM field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the Department has emphasized the importance of promoting evidence-based practices through our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an effort to focus on promising strategies that have been the subject of research and evaluation as a way to enhance the effectiveness of work supported by funded applicants with Federal dollars, and to improve outcomes for students participating in our programs, we have included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encouraging applicants to model their proposed projects on evidence-based strategies. For applicants that address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award one additional point if the activities or strategies are supported by a study that meets the evidence of promise standard or three additional points if the activities or strategies are supported by a study (or studies) that meet the moderate evidence of effectiveness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demonstrate that the research cited is relevant to the proposed project activities or strategies. In assessing the relevance of the research cited to the proposed project, the Secretary will consider, among other factors, the portion of the requested funds that will be dedicated to the evidence-based strategies or activities. In addition, in an effort to help generate evidence about effective intervention strategies and best practices that lead to increased completion rates at two- and four-year HSIs, particularly for STEM credentials, we have included a selection criterion awarding additional points for applications that propose rigorous evaluation methods for their proposed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In accordance with 34 CFR 75.105(b)(2)(v), Absolute Priority 1 is from the list of authorized activities in the statute (see section 503(b)(5) of the HEA </w:t>
      </w:r>
      <w:hyperlink r:id="rId12" w:history="1">
        <w:r>
          <w:rPr>
            <w:rFonts w:ascii="arial" w:eastAsia="arial" w:hAnsi="arial" w:cs="arial"/>
            <w:b w:val="0"/>
            <w:i/>
            <w:strike w:val="0"/>
            <w:noProof w:val="0"/>
            <w:color w:val="0077CC"/>
            <w:position w:val="0"/>
            <w:sz w:val="20"/>
            <w:u w:val="single"/>
            <w:vertAlign w:val="baseline"/>
          </w:rPr>
          <w:t>(20 U.S.C. 1101b</w:t>
        </w:r>
      </w:hyperlink>
      <w:r>
        <w:rPr>
          <w:rFonts w:ascii="arial" w:eastAsia="arial" w:hAnsi="arial" w:cs="arial"/>
          <w:b w:val="0"/>
          <w:i w:val="0"/>
          <w:strike w:val="0"/>
          <w:noProof w:val="0"/>
          <w:color w:val="000000"/>
          <w:position w:val="0"/>
          <w:sz w:val="20"/>
          <w:u w:val="none"/>
          <w:vertAlign w:val="baseline"/>
        </w:rPr>
        <w:t xml:space="preserve">(b)(5)). In accordance with 34 CFR 75.105(b)(2)(iv), Absolute Priority 2 is from section 371(b)(2)(B) of the HEA </w:t>
      </w:r>
      <w:hyperlink r:id="rId14" w:history="1">
        <w:r>
          <w:rPr>
            <w:rFonts w:ascii="arial" w:eastAsia="arial" w:hAnsi="arial" w:cs="arial"/>
            <w:b w:val="0"/>
            <w:i/>
            <w:strike w:val="0"/>
            <w:noProof w:val="0"/>
            <w:color w:val="0077CC"/>
            <w:position w:val="0"/>
            <w:sz w:val="20"/>
            <w:u w:val="single"/>
            <w:vertAlign w:val="baseline"/>
          </w:rPr>
          <w:t>(20 U.S.C. 1067q</w:t>
        </w:r>
      </w:hyperlink>
      <w:r>
        <w:rPr>
          <w:rFonts w:ascii="arial" w:eastAsia="arial" w:hAnsi="arial" w:cs="arial"/>
          <w:b w:val="0"/>
          <w:i w:val="0"/>
          <w:strike w:val="0"/>
          <w:noProof w:val="0"/>
          <w:color w:val="000000"/>
          <w:position w:val="0"/>
          <w:sz w:val="20"/>
          <w:u w:val="none"/>
          <w:vertAlign w:val="baseline"/>
        </w:rPr>
        <w:t xml:space="preserve">(b)(2)(B)). In accordance with 34 CFR 75.105(b)(2)(ii),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34 CFR 75.226.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w:t>
      </w:r>
      <w:r>
        <w:rPr>
          <w:rFonts w:ascii="arial" w:eastAsia="arial" w:hAnsi="arial" w:cs="arial"/>
          <w:b/>
          <w:i w:val="0"/>
          <w:strike w:val="0"/>
          <w:noProof w:val="0"/>
          <w:color w:val="000000"/>
          <w:position w:val="0"/>
          <w:sz w:val="20"/>
          <w:u w:val="none"/>
          <w:vertAlign w:val="baseline"/>
        </w:rPr>
        <w:t> [*11533] </w:t>
      </w:r>
      <w:r>
        <w:rPr>
          <w:rFonts w:ascii="arial" w:eastAsia="arial" w:hAnsi="arial" w:cs="arial"/>
          <w:b w:val="0"/>
          <w:i w:val="0"/>
          <w:strike w:val="0"/>
          <w:noProof w:val="0"/>
          <w:color w:val="000000"/>
          <w:position w:val="0"/>
          <w:sz w:val="20"/>
          <w:u w:val="none"/>
          <w:vertAlign w:val="baseline"/>
        </w:rPr>
        <w:t xml:space="preserv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priorities are absolute priorities. Under 34 CFR 75.105(c)(3), we consider only applications that meet both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application that proposes to develop or enhance tutoring, counseling, and student service programs designed to improve academic success, including innovative and customized instruction courses (which may include remedial education and English language instruction) designed to help retain students and move the students rapidly into core courses and through program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application that proposes activities to increase the number of Hispanic and other low-income students attaining degrees in the STEM fields and proposes to develop model transfer and articulation agreements between two-year HSIs and four-year institutions in STEM fields.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award one additional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three additional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Applicants may address only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must clearly indicate in their application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they are addressing. Applicants that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but whose applications do not meet the moderate evidence of effectiveness standard, may still be considered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to determine whether their applications meet the evidence of promise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(One additional point) Applications supported by evidence of effectiveness that meets the conditions set out in the definition of "evidence of promise."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r>
        <w:rPr>
          <w:rFonts w:ascii="arial" w:eastAsia="arial" w:hAnsi="arial" w:cs="arial"/>
          <w:b w:val="0"/>
          <w:i w:val="0"/>
          <w:strike w:val="0"/>
          <w:noProof w:val="0"/>
          <w:color w:val="000000"/>
          <w:position w:val="0"/>
          <w:sz w:val="20"/>
          <w:u w:val="none"/>
          <w:vertAlign w:val="baseline"/>
        </w:rPr>
        <w:t xml:space="preserve"> (Three additional points) Applications supported by evidence of effectiveness that meets the conditions set out in the definition of "moderate evidence of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from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developing logic models, applicants may want to use resources such as the Pacific Education Laboratory's Education Logic Model Application (</w:t>
      </w:r>
      <w:hyperlink r:id="rId15" w:history="1">
        <w:r>
          <w:rPr>
            <w:rFonts w:ascii="arial" w:eastAsia="arial" w:hAnsi="arial" w:cs="arial"/>
            <w:b w:val="0"/>
            <w:i/>
            <w:strike w:val="0"/>
            <w:noProof w:val="0"/>
            <w:color w:val="0077CC"/>
            <w:position w:val="0"/>
            <w:sz w:val="20"/>
            <w:u w:val="single"/>
            <w:vertAlign w:val="baseline"/>
          </w:rPr>
          <w:t>www.relpacific.mcrel.org/PERR.html</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http://files.eric.ed.gov/fulltext/ED544779.pdf</w:t>
        </w:r>
      </w:hyperlink>
      <w:r>
        <w:rPr>
          <w:rFonts w:ascii="arial" w:eastAsia="arial" w:hAnsi="arial" w:cs="arial"/>
          <w:b w:val="0"/>
          <w:i w:val="0"/>
          <w:strike w:val="0"/>
          <w:noProof w:val="0"/>
          <w:color w:val="000000"/>
          <w:position w:val="0"/>
          <w:sz w:val="20"/>
          <w:u w:val="none"/>
          <w:vertAlign w:val="baseline"/>
        </w:rPr>
        <w:t>) to help design their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practices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 local educational agency,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w:t>
      </w:r>
      <w:r>
        <w:rPr>
          <w:rFonts w:ascii="arial" w:eastAsia="arial" w:hAnsi="arial" w:cs="arial"/>
          <w:b/>
          <w:i w:val="0"/>
          <w:strike w:val="0"/>
          <w:noProof w:val="0"/>
          <w:color w:val="000000"/>
          <w:position w:val="0"/>
          <w:sz w:val="20"/>
          <w:u w:val="none"/>
          <w:vertAlign w:val="baseline"/>
        </w:rPr>
        <w:t> [*11534] </w:t>
      </w:r>
      <w:r>
        <w:rPr>
          <w:rFonts w:ascii="arial" w:eastAsia="arial" w:hAnsi="arial" w:cs="arial"/>
          <w:b w:val="0"/>
          <w:i w:val="0"/>
          <w:strike w:val="0"/>
          <w:noProof w:val="0"/>
          <w:color w:val="000000"/>
          <w:position w:val="0"/>
          <w:sz w:val="20"/>
          <w:u w:val="none"/>
          <w:vertAlign w:val="baseline"/>
        </w:rPr>
        <w:t xml:space="preserve"> (Version 3.0, March 2014), which can be found at the following link: </w:t>
      </w:r>
      <w:hyperlink r:id="rId17"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20 U.S.C. 1067q</w:t>
        </w:r>
      </w:hyperlink>
      <w:r>
        <w:rPr>
          <w:rFonts w:ascii="arial" w:eastAsia="arial" w:hAnsi="arial" w:cs="arial"/>
          <w:b w:val="0"/>
          <w:i w:val="0"/>
          <w:strike w:val="0"/>
          <w:noProof w:val="0"/>
          <w:color w:val="000000"/>
          <w:position w:val="0"/>
          <w:sz w:val="20"/>
          <w:u w:val="none"/>
          <w:vertAlign w:val="baseline"/>
        </w:rPr>
        <w:t>(b)(2)(B).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HSI STEM and Articulation Program authorized under section 371 of the HEA is not part of the Developing HSIs Program authorized by title V of the HEA, the eligibility and activity provisions under the Developing HSIs Program apply to the HSI STEM and Articulation Program pursuant to section 371(a)(2) and (b)(2)(B)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$ 91,773,000.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$ 700,000-1,200,000.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$ 775,000.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 IHEs that qualify as eligible HSIs are eligible to apply under the HSI STEM and Articulation Program. To be an eligible HSI, an IHE must--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an enrollment of needy students, as defined in section 502(b) of the HEA (section 502(a)(2)(A)(i) of the HEA; </w:t>
      </w:r>
      <w:hyperlink r:id="rId11"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Have, except as provided in section 522(b) of the HEA, average educational and general expenditures that are low, per full-time equivalent (FTE) undergraduate student, in comparison with the average educational and general expenditures per FTE undergraduate student of institutions that offer similar instruction (section 502(a)(2)(A)(ii) of the HEA; </w:t>
      </w:r>
      <w:hyperlink r:id="rId11"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notice announcing the FY 2016 process for designation of eligible institutions, and inviting applications for waiver of eligibility requirements,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19, 2015 </w:t>
      </w:r>
      <w:r>
        <w:rPr>
          <w:rFonts w:ascii="arial" w:eastAsia="arial" w:hAnsi="arial" w:cs="arial"/>
          <w:b w:val="0"/>
          <w:i/>
          <w:strike w:val="0"/>
          <w:noProof w:val="0"/>
          <w:color w:val="000000"/>
          <w:position w:val="0"/>
          <w:sz w:val="20"/>
          <w:u w:val="none"/>
          <w:vertAlign w:val="baseline"/>
        </w:rPr>
        <w:t>(80 FR 72422).</w:t>
      </w:r>
      <w:r>
        <w:rPr>
          <w:rFonts w:ascii="arial" w:eastAsia="arial" w:hAnsi="arial" w:cs="arial"/>
          <w:b w:val="0"/>
          <w:i w:val="0"/>
          <w:strike w:val="0"/>
          <w:noProof w:val="0"/>
          <w:color w:val="000000"/>
          <w:position w:val="0"/>
          <w:sz w:val="20"/>
          <w:u w:val="none"/>
          <w:vertAlign w:val="baseline"/>
        </w:rPr>
        <w:t xml:space="preserve"> Only institutions that the Department determines are eligible, or are granted a waiver, may apply for a grant in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Be accredited by a nationally recognized accrediting agency or association that the Secretary has determined to be a reliable authority as to the quality of education or training offered, or making reasonable progress toward accreditation, according to such an agency or association (section 502(a)(2)(A)(iv) of the HEA; </w:t>
      </w:r>
      <w:hyperlink r:id="rId11"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Be legally authorized to provide, and provide within the State, an educational program for which the institution awards a bachelor's degree, or be a junior or community college (section 502(a)(2)(A)(iii) of the HEA; </w:t>
      </w:r>
      <w:hyperlink r:id="rId11"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(a)(2)(A)(iii));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Have an enrollment of undergraduate FTE students that is at least 25 percent Hispanic students at the end of the award year immediately preceding the date of application (section 502(a)(5)(B) of the HEA; </w:t>
      </w:r>
      <w:hyperlink r:id="rId11"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(a)(5)(B)).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Institutions that have been identified as meeting the requirements to be an "eligible institution" for purposes of title V of the HEA as described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published on November 19, 2015, including the requirement that it have at least 25 percent Hispanic enrollment, do not need to submit any additional eligibility information but must submit a grant application. Institutions that have been identified as meeting the basic requirements to be an eligible institution except for the requirement for 25 percent Hispanic enrollment must submit documentation to demonstrate that they meet that requirement. The institution must submit either: The data the institution submitted to the Department in response to the IPEDS surveys for Fall 2014 or the data submitted by the institution to the State. See the application package for more information regarding eligibility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institution that is required to submit documentation of its percentage of Hispanic student enrollment but does not do so will not be eligible to apply for a grant. An institution that meets the basic requirements of an eligible institution but does not demonstrate that it meets the requirement for 25 percent Hispanic enrollment is also not eligible to apply for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eligible HSI that submits multiple applications may only be awarded one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unless the grantee uses a portion of its grant for establishing or improving an endowment fund. If a grantee uses a portion of its grant for endowment fund purposes, it must match those grant funds with non-Federal funds (section 503(c)(2) of the HEA; </w:t>
      </w:r>
      <w:hyperlink r:id="rId12" w:history="1">
        <w:r>
          <w:rPr>
            <w:rFonts w:ascii="arial" w:eastAsia="arial" w:hAnsi="arial" w:cs="arial"/>
            <w:b w:val="0"/>
            <w:i/>
            <w:strike w:val="0"/>
            <w:noProof w:val="0"/>
            <w:color w:val="0077CC"/>
            <w:position w:val="0"/>
            <w:sz w:val="20"/>
            <w:u w:val="single"/>
            <w:vertAlign w:val="baseline"/>
          </w:rPr>
          <w:t>20 U.S.C. 1101b</w:t>
        </w:r>
      </w:hyperlink>
      <w:r>
        <w:rPr>
          <w:rFonts w:ascii="arial" w:eastAsia="arial" w:hAnsi="arial" w:cs="arial"/>
          <w:b w:val="0"/>
          <w:i w:val="0"/>
          <w:strike w:val="0"/>
          <w:noProof w:val="0"/>
          <w:color w:val="000000"/>
          <w:position w:val="0"/>
          <w:sz w:val="20"/>
          <w:u w:val="none"/>
          <w:vertAlign w:val="baseline"/>
        </w:rPr>
        <w:t>(c)(2)).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for Application Package:</w:t>
      </w:r>
      <w:r>
        <w:rPr>
          <w:rFonts w:ascii="arial" w:eastAsia="arial" w:hAnsi="arial" w:cs="arial"/>
          <w:b w:val="0"/>
          <w:i w:val="0"/>
          <w:strike w:val="0"/>
          <w:noProof w:val="0"/>
          <w:color w:val="000000"/>
          <w:position w:val="0"/>
          <w:sz w:val="20"/>
          <w:u w:val="none"/>
          <w:vertAlign w:val="baseline"/>
        </w:rPr>
        <w:t xml:space="preserve"> Everardo Gil or Jeffrey Hartman, Office of Postsecondary Education, U.S. Department of Education, 400 Maryland Avenue SW., Room 7E311, Washington, DC 20202. Telephone: (202) 219-7000 or (202) 502-7607 or by email: </w:t>
      </w:r>
      <w:hyperlink r:id="rId18" w:history="1">
        <w:r>
          <w:rPr>
            <w:rFonts w:ascii="arial" w:eastAsia="arial" w:hAnsi="arial" w:cs="arial"/>
            <w:b w:val="0"/>
            <w:i/>
            <w:strike w:val="0"/>
            <w:noProof w:val="0"/>
            <w:color w:val="0077CC"/>
            <w:position w:val="0"/>
            <w:sz w:val="20"/>
            <w:u w:val="single"/>
            <w:vertAlign w:val="baseline"/>
          </w:rPr>
          <w:t>Everardo.Gil@ed.gov</w:t>
        </w:r>
      </w:hyperlink>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vertAlign w:val="baseline"/>
          </w:rPr>
          <w:t>Jeffrey.Hartman@ed.gov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the absolute priorities,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that reviewers use to evaluate your application. We have established the following mandatory page limits for all applications: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not addressing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you must limit your application narrative to no more than 50 pages.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addressing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you must limit your application narrative to no more than 55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include a separate heading for the absolute priorities and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if you address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determining compliance with the page limits, each page on which there are words will be </w:t>
      </w:r>
      <w:r>
        <w:rPr>
          <w:rFonts w:ascii="arial" w:eastAsia="arial" w:hAnsi="arial" w:cs="arial"/>
          <w:b/>
          <w:i w:val="0"/>
          <w:strike w:val="0"/>
          <w:noProof w:val="0"/>
          <w:color w:val="000000"/>
          <w:position w:val="0"/>
          <w:sz w:val="20"/>
          <w:u w:val="none"/>
          <w:vertAlign w:val="baseline"/>
        </w:rPr>
        <w:t> [*11535] </w:t>
      </w:r>
      <w:r>
        <w:rPr>
          <w:rFonts w:ascii="arial" w:eastAsia="arial" w:hAnsi="arial" w:cs="arial"/>
          <w:b w:val="0"/>
          <w:i w:val="0"/>
          <w:strike w:val="0"/>
          <w:noProof w:val="0"/>
          <w:color w:val="000000"/>
          <w:position w:val="0"/>
          <w:sz w:val="20"/>
          <w:u w:val="none"/>
          <w:vertAlign w:val="baseline"/>
        </w:rPr>
        <w:t xml:space="preserve"> counted as one full page. Applicants must use the following standards: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titles, headings, footnotes, quotations, references, captions and all text in charts, tables, figures, and graphs. These items may be single-spaced. Charts, tables, figures, and graphs in the application narrative count toward the page limit.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graphs, footnotes, and endnotes.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applies to all of the application narrative section, including your complete response to the selection criteria, the absolute priorities,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However, the page limit does not apply to Part I, the Application for Federal Assistance (SF 424); the Department of Education Supplemental Information form (SF 424); Part II, Budget Information--Non-Construction Programs (ED 524) and budget narrative; Part IV, the assurances and certifications; or the one-page project abstract. If you include any attachments or appendices not specifically requested in the application package, these items will be counted as part of your application narrative for purposes of the page-limit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Applicability of Executive Order 13202.</w:t>
      </w:r>
      <w:r>
        <w:rPr>
          <w:rFonts w:ascii="arial" w:eastAsia="arial" w:hAnsi="arial" w:cs="arial"/>
          <w:b w:val="0"/>
          <w:i w:val="0"/>
          <w:strike w:val="0"/>
          <w:noProof w:val="0"/>
          <w:color w:val="000000"/>
          <w:position w:val="0"/>
          <w:sz w:val="20"/>
          <w:u w:val="none"/>
          <w:vertAlign w:val="baseline"/>
        </w:rPr>
        <w:t xml:space="preserve"> Applicants that apply for construction funds under the HSI STEM and Articulation Program must comply with Executive Order 13202, as amended. This Executive order provides that recipients of Federal construction funds may not "require or prohibit bidders, offerors, contractors, or subcontractors to enter into or adhere to agreements with one or more labor organizations, on the same or other construction project(s)" or "otherwise discriminate against bidders, offerors, contractors, or subcontractors for becoming or refusing to become or remain signatories or otherwise to adhere to agreements with one or more labor organizations, on the same or other related construction project(s)." Projects funded under this program that include construction activity will be provided a copy of this Executive order and will be asked to certify that they will adhere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0"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2"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the HSI STEM and Articulation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HSI STEM and Articulation Program, CFDA </w:t>
      </w:r>
      <w:r>
        <w:rPr>
          <w:rFonts w:ascii="arial" w:eastAsia="arial" w:hAnsi="arial" w:cs="arial"/>
          <w:b/>
          <w:i w:val="0"/>
          <w:strike w:val="0"/>
          <w:noProof w:val="0"/>
          <w:color w:val="000000"/>
          <w:position w:val="0"/>
          <w:sz w:val="20"/>
          <w:u w:val="none"/>
          <w:vertAlign w:val="baseline"/>
        </w:rPr>
        <w:t> [*11536] </w:t>
      </w:r>
      <w:r>
        <w:rPr>
          <w:rFonts w:ascii="arial" w:eastAsia="arial" w:hAnsi="arial" w:cs="arial"/>
          <w:b w:val="0"/>
          <w:i w:val="0"/>
          <w:strike w:val="0"/>
          <w:noProof w:val="0"/>
          <w:color w:val="000000"/>
          <w:position w:val="0"/>
          <w:sz w:val="20"/>
          <w:u w:val="none"/>
          <w:vertAlign w:val="baseline"/>
        </w:rPr>
        <w:t xml:space="preserve"> number 84.031C, must be submitted electronically using the Governmentwide Grants.gov Apply site at </w:t>
      </w:r>
      <w:hyperlink r:id="rId23"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84.031, not 84.031C).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4"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5"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format.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t>
      </w:r>
      <w:r>
        <w:rPr>
          <w:rFonts w:ascii="arial" w:eastAsia="arial" w:hAnsi="arial" w:cs="arial"/>
          <w:b/>
          <w:i w:val="0"/>
          <w:strike w:val="0"/>
          <w:noProof w:val="0"/>
          <w:color w:val="000000"/>
          <w:position w:val="0"/>
          <w:sz w:val="20"/>
          <w:u w:val="none"/>
          <w:vertAlign w:val="baseline"/>
        </w:rPr>
        <w:t> [*11537] </w:t>
      </w:r>
      <w:r>
        <w:rPr>
          <w:rFonts w:ascii="arial" w:eastAsia="arial" w:hAnsi="arial" w:cs="arial"/>
          <w:b w:val="0"/>
          <w:i w:val="0"/>
          <w:strike w:val="0"/>
          <w:noProof w:val="0"/>
          <w:color w:val="000000"/>
          <w:position w:val="0"/>
          <w:sz w:val="20"/>
          <w:u w:val="none"/>
          <w:vertAlign w:val="baseline"/>
        </w:rPr>
        <w:t xml:space="preserve">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Everardo Gil or Jeffrey Hartman, Office of Postsecondary Education, U.S. Department of Education, 400 Maryland Avenue SW., Room 7E311, Washington, DC 20202. FAX: (202) 205-0063.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84.031C)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84.031C),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We will award up to 100 points to an application under the selection criteria; the total possible points for each selection criterion are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(Maximum 30 points)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design of the proposed project is appropriate to, and will successfully address, the needs of the target population or other identified needs.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of the proposed project includes a thorough, high-quality review of the relevant literature, a high-quality plan for project implementation, and the use of appropriate methodological tools to ensure successful achievement of project objectives.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is supported by strong theory (as defined in this notice).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Services.</w:t>
      </w:r>
      <w:r>
        <w:rPr>
          <w:rFonts w:ascii="arial" w:eastAsia="arial" w:hAnsi="arial" w:cs="arial"/>
          <w:b w:val="0"/>
          <w:i w:val="0"/>
          <w:strike w:val="0"/>
          <w:noProof w:val="0"/>
          <w:color w:val="000000"/>
          <w:position w:val="0"/>
          <w:sz w:val="20"/>
          <w:u w:val="none"/>
          <w:vertAlign w:val="baseline"/>
        </w:rPr>
        <w:t xml:space="preserve"> (Maximum 20 points) The Secretary considers the quality of the services to be provided by the proposed project.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services to be provided by the proposed project reflect up-to-date knowledge from research and effective practice.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likely impact of the services to be provided by the proposed project on the intended recipients of those services.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(Maximum 20 points) The Secretary considers the significance of the proposed project. In determining the significance of the proposed project, </w:t>
      </w:r>
      <w:r>
        <w:rPr>
          <w:rFonts w:ascii="arial" w:eastAsia="arial" w:hAnsi="arial" w:cs="arial"/>
          <w:b/>
          <w:i w:val="0"/>
          <w:strike w:val="0"/>
          <w:noProof w:val="0"/>
          <w:color w:val="000000"/>
          <w:position w:val="0"/>
          <w:sz w:val="20"/>
          <w:u w:val="none"/>
          <w:vertAlign w:val="baseline"/>
        </w:rPr>
        <w:t> [*11538] </w:t>
      </w:r>
      <w:r>
        <w:rPr>
          <w:rFonts w:ascii="arial" w:eastAsia="arial" w:hAnsi="arial" w:cs="arial"/>
          <w:b w:val="0"/>
          <w:i w:val="0"/>
          <w:strike w:val="0"/>
          <w:noProof w:val="0"/>
          <w:color w:val="000000"/>
          <w:position w:val="0"/>
          <w:sz w:val="20"/>
          <w:u w:val="none"/>
          <w:vertAlign w:val="baseline"/>
        </w:rPr>
        <w:t xml:space="preserve">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potential contribution of the proposed project to increased knowledge or understanding of educational problems, issues, or effective strategies.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likelihood that the proposed project will result in system change or improvement.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commitments of the project director and principal investigator and other key personnel are appropriate and adequate to meet the objectives of the proposed project.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(Maximum 20 points) 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are thorough, feasible, and appropriate to the goals, objectives, and outcomes of the proposed project.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if well-implemented, produce evidence about the project's effectiveness that would meet the What Works Clearinghouse Evidence Standards with reservations.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Awards will be made in rank order according to the average score received from an evaluation performed by a panel of non-Federal reviewers based on responses to the selection criteria and, if applicable,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If an application is scored highly, has the possibility of being funded, and includes a response to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Institute of Education Sciences (IES) will review the studies cited in the application to determine whether they meet the "moderate evidence of effectiveness" or the "evidence of promise" standard. Only those applications that address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have the possibility of being funded because of high scores and available funds for new awards will undergo further review by 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noted in 34 CFR 75.217, we will use other information noted in this section to select applications for new grants when two or more applicants receive the same score in the rank order and the program funds are insufficient to fund all applicants with the same cut off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6" w:history="1">
        <w:r>
          <w:rPr>
            <w:rFonts w:ascii="arial" w:eastAsia="arial" w:hAnsi="arial" w:cs="arial"/>
            <w:b w:val="0"/>
            <w:i/>
            <w:strike w:val="0"/>
            <w:noProof w:val="0"/>
            <w:color w:val="0077CC"/>
            <w:position w:val="0"/>
            <w:sz w:val="20"/>
            <w:u w:val="single"/>
            <w:vertAlign w:val="baseline"/>
          </w:rPr>
          <w:t>www.ed.gov/fund/grant/apply/appforms.html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HSI STEM and Articulation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change, over the five-year grant period, of the number of Hispanic and low-income full-time STEM field degree-seeking undergraduate students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Hispanic and low-income first-time, full-time STEM field degree-seeking undergraduate students who were in their first year of postsecondary enrollment in the previous year and are enrolled in the current year who remain in a STEM field degree/credential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percentage of Hispanic and low-income first-time, full-time degree-seeking undergraduate students enrolled at four-year HSIs graduating within six years of enrollment with a STEM field degree. </w:t>
      </w:r>
      <w:r>
        <w:rPr>
          <w:rFonts w:ascii="arial" w:eastAsia="arial" w:hAnsi="arial" w:cs="arial"/>
          <w:b/>
          <w:i w:val="0"/>
          <w:strike w:val="0"/>
          <w:noProof w:val="0"/>
          <w:color w:val="000000"/>
          <w:position w:val="0"/>
          <w:sz w:val="20"/>
          <w:u w:val="none"/>
          <w:vertAlign w:val="baseline"/>
        </w:rPr>
        <w:t> [*11539]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Hispanic and low-income first-time, full-time degree-seeking undergraduate students enrolled at two-year HSIs graduating within three years of enrollment with a STEM field degree/credential.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Hispanic and low-income students transferring successfully to a four-year institution from a two-year institution and retained in a STEM field major.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number of Hispanic and low-income students participating in grant-funded student support programs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percent of Hispanic and low-income students who participated in grant-supported services or programs who successfully completed gateway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percent of Hispanic and low-income students who participated in grant-supported services or programs in good academic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percent of Hispanic and low-income STEM field major transfer students on track to complete a STEM field degree within three years from their transfer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percent of Hispanic and low-income students who participated in grant-supported services or programs and completed a degree or credential.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Jeffrey Hartman or Everardo Gil, Office of Postsecondary Education, U.S. Department of Education, 400 Maryland Avenue SW., Room 7E311, Washington, DC 20202. Telephone: (202) 502-7607 or (202) 219-7000 or by email: </w:t>
      </w:r>
      <w:hyperlink r:id="rId19" w:history="1">
        <w:r>
          <w:rPr>
            <w:rFonts w:ascii="arial" w:eastAsia="arial" w:hAnsi="arial" w:cs="arial"/>
            <w:b w:val="0"/>
            <w:i/>
            <w:strike w:val="0"/>
            <w:noProof w:val="0"/>
            <w:color w:val="0077CC"/>
            <w:position w:val="0"/>
            <w:sz w:val="20"/>
            <w:u w:val="single"/>
            <w:vertAlign w:val="baseline"/>
          </w:rPr>
          <w:t>Jeffrey.Hartman@ed.gov</w:t>
        </w:r>
      </w:hyperlink>
      <w:r>
        <w:rPr>
          <w:rFonts w:ascii="arial" w:eastAsia="arial" w:hAnsi="arial" w:cs="arial"/>
          <w:b w:val="0"/>
          <w:i w:val="0"/>
          <w:strike w:val="0"/>
          <w:noProof w:val="0"/>
          <w:color w:val="000000"/>
          <w:position w:val="0"/>
          <w:sz w:val="20"/>
          <w:u w:val="none"/>
          <w:vertAlign w:val="baseline"/>
        </w:rPr>
        <w:t xml:space="preserve"> or </w:t>
      </w:r>
      <w:hyperlink r:id="rId18" w:history="1">
        <w:r>
          <w:rPr>
            <w:rFonts w:ascii="arial" w:eastAsia="arial" w:hAnsi="arial" w:cs="arial"/>
            <w:b w:val="0"/>
            <w:i/>
            <w:strike w:val="0"/>
            <w:noProof w:val="0"/>
            <w:color w:val="0077CC"/>
            <w:position w:val="0"/>
            <w:sz w:val="20"/>
            <w:u w:val="single"/>
            <w:vertAlign w:val="baseline"/>
          </w:rPr>
          <w:t>Everardo.Gil@ed.gov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11532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ederalregister.gov" TargetMode="External" /><Relationship Id="rId11" Type="http://schemas.openxmlformats.org/officeDocument/2006/relationships/hyperlink" Target="https://advance.lexis.com/api/document?collection=statutes-legislation&amp;id=urn:contentItem:4YF7-GPN1-NRF4-407J-00000-00&amp;context=" TargetMode="External" /><Relationship Id="rId12" Type="http://schemas.openxmlformats.org/officeDocument/2006/relationships/hyperlink" Target="https://advance.lexis.com/api/document?collection=statutes-legislation&amp;id=urn:contentItem:4YF7-GTB1-NRF4-4119-00000-00&amp;context=" TargetMode="External" /><Relationship Id="rId13" Type="http://schemas.openxmlformats.org/officeDocument/2006/relationships/hyperlink" Target="http://www.bls.gov/careeroutlook/2014/spring/art01.pdf" TargetMode="External" /><Relationship Id="rId14" Type="http://schemas.openxmlformats.org/officeDocument/2006/relationships/hyperlink" Target="https://advance.lexis.com/api/document?collection=statutes-legislation&amp;id=urn:contentItem:4YF7-GSN1-NRF4-44N8-00000-00&amp;context=" TargetMode="External" /><Relationship Id="rId15" Type="http://schemas.openxmlformats.org/officeDocument/2006/relationships/hyperlink" Target="http://www.relpacific.mcrel.org/PERR.html" TargetMode="External" /><Relationship Id="rId16" Type="http://schemas.openxmlformats.org/officeDocument/2006/relationships/hyperlink" Target="http://files.eric.ed.gov/fulltext/ED544779.pdf" TargetMode="External" /><Relationship Id="rId17" Type="http://schemas.openxmlformats.org/officeDocument/2006/relationships/hyperlink" Target="http://ies.ed.gov/ncee/wwc/DocumentSum.aspx?sid=19" TargetMode="External" /><Relationship Id="rId18" Type="http://schemas.openxmlformats.org/officeDocument/2006/relationships/hyperlink" Target="mailto:Everardo.Gil@ed.gov" TargetMode="External" /><Relationship Id="rId19" Type="http://schemas.openxmlformats.org/officeDocument/2006/relationships/hyperlink" Target="mailto:Jeffrey.Hartman@ed.gov" TargetMode="External" /><Relationship Id="rId2" Type="http://schemas.openxmlformats.org/officeDocument/2006/relationships/webSettings" Target="webSettings.xml" /><Relationship Id="rId20" Type="http://schemas.openxmlformats.org/officeDocument/2006/relationships/hyperlink" Target="http://fedgov.dnb.com/webform" TargetMode="External" /><Relationship Id="rId21" Type="http://schemas.openxmlformats.org/officeDocument/2006/relationships/hyperlink" Target="http://www.SAM.gov" TargetMode="External" /><Relationship Id="rId22" Type="http://schemas.openxmlformats.org/officeDocument/2006/relationships/hyperlink" Target="http://www.grants.gov/web/grants/register.html" TargetMode="External" /><Relationship Id="rId23" Type="http://schemas.openxmlformats.org/officeDocument/2006/relationships/hyperlink" Target="http://www.Grants.gov" TargetMode="External" /><Relationship Id="rId24" Type="http://schemas.openxmlformats.org/officeDocument/2006/relationships/hyperlink" Target="http://www.G5.gov" TargetMode="External" /><Relationship Id="rId25" Type="http://schemas.openxmlformats.org/officeDocument/2006/relationships/hyperlink" Target="http://www.grants.gov/web/grants/applicants/apply-for-grants.html" TargetMode="External" /><Relationship Id="rId26" Type="http://schemas.openxmlformats.org/officeDocument/2006/relationships/hyperlink" Target="http://www.ed.gov/fund/grant/apply/appforms.html"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75-Y9V0-006W-83SG-00000-00&amp;context=" TargetMode="External" /><Relationship Id="rId8" Type="http://schemas.openxmlformats.org/officeDocument/2006/relationships/hyperlink" Target="http://www.ed.gov/programs/idueshsi/index.html" TargetMode="External" /><Relationship Id="rId9" Type="http://schemas.openxmlformats.org/officeDocument/2006/relationships/hyperlink" Target="http://www.gpo.gov/fdsy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90343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