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11539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043, Friday, March 4,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11539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March 4,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Special Education and Rehabilitative Services (OSERS)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Technical Assistance and Dissemination To Improve Services and Results for Children With Disabilities; Personnel Development To Improve Services and Results for Children With Disabilities; and Educational Technology, Media, and Materials for Individuals With Disabilities Programs--Postsecondary Education Center for Individuals Who Are Deaf or Hard of Hearing</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Technical Assistance and Dissemination to Improve Services and Results for Children with Disabilities (TA&amp;D); Personnel Development to Improve Services and Results for Children with Disabilities (Personnel Development); and Educational Technology, Media, and Materials for Individuals with Disabilities (ETechM2) Programs--Postsecondary Education Center for Individuals who are Deaf or Hard of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a new award for fiscal year (FY)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Catalog of Federal Domestic Assistance (CFDA) Number:</w:t>
      </w:r>
      <w:r>
        <w:rPr>
          <w:rFonts w:ascii="arial" w:eastAsia="arial" w:hAnsi="arial" w:cs="arial"/>
          <w:b w:val="0"/>
          <w:i w:val="0"/>
          <w:strike w:val="0"/>
          <w:noProof w:val="0"/>
          <w:color w:val="000000"/>
          <w:position w:val="0"/>
          <w:sz w:val="20"/>
          <w:u w:val="none"/>
          <w:vertAlign w:val="baseline"/>
        </w:rPr>
        <w:t xml:space="preserve"> 84.326D.</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Funding from three Department of Education (Department) programs supports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TA&amp;D program, the Personnel Development program, and the ETechM2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TA&amp;D program is to promote academic achievement and to improve results for children with disabilities by providing technical assistance (TA), supporting model demonstration projects, disseminating useful information, and implementing activities that are supported by scientifically based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purposes of the Personnel Development program are to: (1) Help address State-identified needs for personnel--in special education, related services, early intervention, and regular education--to work with children with disabilities; and (2) ensure that those personnel have the skills and knowledge--derived from practices that have been determined through research and experience to be successful--that are needed to serve those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purposes of the ETechM2 program are to: (1) Improve results for children with disabilities by promoting the development, demonstration, and use of technology; (2) support educational activities designed to be of educational value in the classroom for students with disabilities; (3) provide support for captioning and video description that is appropriate for use in the classroom; and (4) provide accessible educational materials to students with disabilities in a timely manner. </w:t>
      </w:r>
      <w:r>
        <w:rPr>
          <w:rFonts w:ascii="arial" w:eastAsia="arial" w:hAnsi="arial" w:cs="arial"/>
          <w:b/>
          <w:i w:val="0"/>
          <w:strike w:val="0"/>
          <w:noProof w:val="0"/>
          <w:color w:val="000000"/>
          <w:position w:val="0"/>
          <w:sz w:val="20"/>
          <w:u w:val="none"/>
          <w:vertAlign w:val="baseline"/>
        </w:rPr>
        <w:t> [*11540]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In accordance with </w:t>
      </w:r>
      <w:hyperlink r:id="rId8" w:history="1">
        <w:r>
          <w:rPr>
            <w:rFonts w:ascii="arial" w:eastAsia="arial" w:hAnsi="arial" w:cs="arial"/>
            <w:b w:val="0"/>
            <w:i/>
            <w:strike w:val="0"/>
            <w:noProof w:val="0"/>
            <w:color w:val="0077CC"/>
            <w:position w:val="0"/>
            <w:sz w:val="20"/>
            <w:u w:val="single"/>
            <w:vertAlign w:val="baseline"/>
          </w:rPr>
          <w:t>34 CFR 75.105(b)(2)(v)</w:t>
        </w:r>
      </w:hyperlink>
      <w:r>
        <w:rPr>
          <w:rFonts w:ascii="arial" w:eastAsia="arial" w:hAnsi="arial" w:cs="arial"/>
          <w:b w:val="0"/>
          <w:i w:val="0"/>
          <w:strike w:val="0"/>
          <w:noProof w:val="0"/>
          <w:color w:val="000000"/>
          <w:position w:val="0"/>
          <w:sz w:val="20"/>
          <w:u w:val="none"/>
          <w:vertAlign w:val="baseline"/>
        </w:rPr>
        <w:t>, this priority is from allowable activities specified in the statute (see sections 662(c)(2), 663(c)(8)(C), 674(b) and (c), and 681(d) of the Individuals with Disabilities Education Act (IDEA) (</w:t>
      </w:r>
      <w:hyperlink r:id="rId9" w:history="1">
        <w:r>
          <w:rPr>
            <w:rFonts w:ascii="arial" w:eastAsia="arial" w:hAnsi="arial" w:cs="arial"/>
            <w:b w:val="0"/>
            <w:i/>
            <w:strike w:val="0"/>
            <w:noProof w:val="0"/>
            <w:color w:val="0077CC"/>
            <w:position w:val="0"/>
            <w:sz w:val="20"/>
            <w:u w:val="single"/>
            <w:vertAlign w:val="baseline"/>
          </w:rPr>
          <w:t>20 U.S.C. 1462</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1463</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1474</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1481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absolute priority. Under </w:t>
      </w:r>
      <w:hyperlink r:id="rId8"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Postsecondary Education Center for Individuals who are Deaf or Hard of Hearing.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priority is to fund a cooperative agreement to establish and operate a Postsecondary Education Center for Individuals who are Deaf or Hard of Hearing (Center). The Center will support postsecondary education through its work with institutions, State educational agencies (SEAs), local educational agencies (LEAs), State vocational rehabilitation (VR) agencies, VR service providers, and other relevant organizations and public agencies, to more effectively address the postsecondary, vocational, technical, continuing, and adult education (postsecondary education and training) needs of individuals who are deaf or hard of hearing, including those who have co-occurring disabilities, such as learning and emotional disabilities, and those who are English learners. The Center will foster collaboration among postsecondary institutions, SEAs, LEAs, State VR agencies, VR service providers, and other relevant organizations and public agencies to support improved outcomes for deaf or hard of hearing transition-aged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an increasing number of individuals who are deaf or hard of hearing are attending postsecondary education and training programs, literature suggests they have poor rates of completion, as compared to their non-disabled peers, often due to inadequate postsecondary skill preparation (Convertino, Marschark, Sapere, Sarchet, &amp; Zupan, 2009). Newman, Wagner, Cameto, and Knokey (2009) reported that, based on National Longitudinal Transition Study-2 (NLTS2) data, 72 percent of deaf or hard of hearing students enrolled in postsecondary school settings after leaving high school. Of these students, only 15 percent graduated or completed training within four years. However, these students' postsecondary completion rates rose to 53 percent with an additional four years' time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eight years after leaving high school) (Newman et al., 2011). Transition planning teams and adult agencies must therefore anticipate the likelihood that students who are deaf or hard of hearing will need an extended time period or long-term services and support to complete postsecondary education and training (Luft,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who are deaf or hard of hearing have unique communication and language barriers that require a range of accommodations for success in postsecondary education and training settings. Research, policy, and practice suggest decisions about accommodations should be made on an individual basis (Cawthon &amp; Leppo, 2013; Marschark, 2001; U.S. Department of Education,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different accommodations are needed for a student who has hearing aids or a cochlear implant and uses oral-auditory strategies, a student with a cochlear implant who uses sign language in addition to oral-auditory strategies, and a student who uses sign language only (Ferrell, Bruce, &amp; Luckner, 2014; Marschark, 2001). Postsecondary institutions must be well-informed about relevant requirements and the various accommodations that may be appropriate for students who are deaf or hard of hearing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oral transliteration services, sign language transliteration, and sign language interpreting and transcription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deaf or hard of hearing students who may not pursue traditional postsecondary education may need access to appropriate job training or other postsecondary education opportunities. Luft and Huff (2011) examined the transition strengths and needs of middle and high school students who were deaf or hard of hearing and found substantial deficits in their employment and independent living skills. To ensure students successfully transition to postsecondary settings, postsecondary institutions--along with public agencies such as secondary schools, vocational rehabilitation agencies, community service agencies, centers for independent living, and one-stop centers funded under the Workforce Innovation and Opportunity Act--must provide appropriate supports and access to relevant resources.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682(d)(1)(B) of IDEA requires the Secretary to ensure that, for each fiscal year, not less than $ 4,000,000 is provided to address the postsecondary, vocational, technical, continuing, and adult education needs of individuals who are deaf or hard of hearing. Pursuant to this requirement, in FY 2011, the Department's Office of Special Education Programs (OSEP) funded a national center to support the efforts of postsecondary institutions, working with other relevant organizations and public agencies, to more effectively address the postsecondary, vocational, technical, continuing, and adult education needs of students who are deaf or hard of hearing, so that a greater number of these students persist in, and complete, college or other postsecondary education and training programs. The center's project period is scheduled to end on September 30, 2016. OSEP believes postsecondary institutions and other relevant organizations and public agencies continue to need technical assistance and training on how to best support students who are deaf or hard of hearing. For more information about the current center, see </w:t>
      </w:r>
      <w:hyperlink r:id="rId13" w:history="1">
        <w:r>
          <w:rPr>
            <w:rFonts w:ascii="arial" w:eastAsia="arial" w:hAnsi="arial" w:cs="arial"/>
            <w:b w:val="0"/>
            <w:i/>
            <w:strike w:val="0"/>
            <w:noProof w:val="0"/>
            <w:color w:val="0077CC"/>
            <w:position w:val="0"/>
            <w:sz w:val="20"/>
            <w:u w:val="single"/>
            <w:vertAlign w:val="baseline"/>
          </w:rPr>
          <w:t>www.pepnet.org</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504 of the Rehabilitation Act of 1973, as amended, and the Americans with Disabilities Act of 1990, as amended (ADA), outline postsecondary institutions' obligations to ensure that they do not discriminate on the basis of disability. These obligations include providing academic adjustments and auxiliary aids and services for students with disabilities (28 CFR 35.160-164; </w:t>
      </w:r>
      <w:hyperlink r:id="rId14" w:history="1">
        <w:r>
          <w:rPr>
            <w:rFonts w:ascii="arial" w:eastAsia="arial" w:hAnsi="arial" w:cs="arial"/>
            <w:b w:val="0"/>
            <w:i/>
            <w:strike w:val="0"/>
            <w:noProof w:val="0"/>
            <w:color w:val="0077CC"/>
            <w:position w:val="0"/>
            <w:sz w:val="20"/>
            <w:u w:val="single"/>
            <w:vertAlign w:val="baseline"/>
          </w:rPr>
          <w:t>28 CFR 36.303</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34 CFR 104.44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that statistics show many individuals who are deaf or hard of hearing are enrolling in mainstream postsecondary institutions (Raue &amp; Lewis, 2011), and considering the wide range of accommodations that may be necessary to serve this low-incidence population, it is paramount that personnel at postsecondary institutions and training programs have the knowledge and skills needed to provide fully accessible learning experiences (Cawthon et al., 2014; Lang,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personnel must be skilled at helping to determine appropriate accommodations for students' communication needs. Personnel must be knowledgeable about a variety of interpreting, transcription, and note-taking services and remote or onsite captioning technologies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C-Print or Communication Access Real-time Translation (CART)), as well as assistive listening devices that may serve as effective accommodations for some students who are deaf or hard of hearing (Cawthon, Nichols, &amp; Collier, 2009). With the rapid pace of technological advancement and the increasing sophistication of technology, it is important for personnel at postsecondary institutions and other relevant organizations and public agencies to stay current on available </w:t>
      </w:r>
      <w:r>
        <w:rPr>
          <w:rFonts w:ascii="arial" w:eastAsia="arial" w:hAnsi="arial" w:cs="arial"/>
          <w:b/>
          <w:i w:val="0"/>
          <w:strike w:val="0"/>
          <w:noProof w:val="0"/>
          <w:color w:val="000000"/>
          <w:position w:val="0"/>
          <w:sz w:val="20"/>
          <w:u w:val="none"/>
          <w:vertAlign w:val="baseline"/>
        </w:rPr>
        <w:t> [*11541] </w:t>
      </w:r>
      <w:r>
        <w:rPr>
          <w:rFonts w:ascii="arial" w:eastAsia="arial" w:hAnsi="arial" w:cs="arial"/>
          <w:b w:val="0"/>
          <w:i w:val="0"/>
          <w:strike w:val="0"/>
          <w:noProof w:val="0"/>
          <w:color w:val="000000"/>
          <w:position w:val="0"/>
          <w:sz w:val="20"/>
          <w:u w:val="none"/>
          <w:vertAlign w:val="baseline"/>
        </w:rPr>
        <w:t xml:space="preserve"> technology and policies to ensure communication access for their deaf or hard of hearing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the diverse and complex needs of individuals with disabilities, including individuals who are deaf or hard of hearing and their families, policymakers and other professionals have stressed the importance of ensuring individuals with disabilities have access to a comprehensive set of services and supports to help them develop the skills they will need to access and succeed in postsecondary education and training settings (Federal Partners in Transition, 2015; National Agenda Steering Committee, 2005). Research suggests that better post-school outcomes for individuals with disabilities may be linked to strong and effective partnerships between agencies responsible for programs that play a key role in providing services to individuals with disabilities and their families (Federal Partners in Transition, 2015; Landmark, Ju, &amp; Zhang, 2010; National Council on Disability, 2008; Test et al., 2009; U.S. Government Accountability Office, 2011). Currently no single system or agency is responsible for providing all the necessary supports to help individuals with disabilities develop essential skills. Individuals with disabilities, including those who are deaf or hard of hearing, often need to simultaneously access services from several different agencies to successfully meet their needs. Providing support for improved interagency collaboration at State and local levels may produce better outcomes in postsecondary education and training for individuals who are deaf or hard of hearing. The Department intends to build on current efforts to improve outcomes in postsecondary education and training for individuals who are deaf or hard hearing. The Department will fund a TA center dedicated to improving the collaboration among postsecondary institutions, SEAs, LEAs, State VR agencies, VR service providers, and other relevant organizations and public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OSEP has developed a Results-Driven Accountability (RDA) system that requires all States to develop a State Systemic Improvement Plan (SSIP) n1 that will incorporate strategies to produce improved outcomes for students with disabilities. A number of States have identified improving post-school outcomes as the focus of their SSIP work. For success in this area, States will need access to a center that provides TA to support the implementation of their SSIP strategies to improve postsecondary education and training outcomes for students who are deaf or hard of hearing.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For more information about the SSIP, see page 18 of the Part B Measurement Table under "Forms and Instructions" at </w:t>
      </w:r>
      <w:hyperlink r:id="rId16" w:history="1">
        <w:r>
          <w:rPr>
            <w:rFonts w:ascii="arial" w:eastAsia="arial" w:hAnsi="arial" w:cs="arial"/>
            <w:b w:val="0"/>
            <w:i/>
            <w:strike w:val="0"/>
            <w:noProof w:val="0"/>
            <w:color w:val="0077CC"/>
            <w:position w:val="0"/>
            <w:sz w:val="20"/>
            <w:u w:val="single"/>
            <w:vertAlign w:val="baseline"/>
          </w:rPr>
          <w:t>www.</w:t>
        </w:r>
      </w:hyperlink>
      <w:hyperlink r:id="rId16" w:history="1">
        <w:r>
          <w:rPr>
            <w:rFonts w:ascii="arial" w:eastAsia="arial" w:hAnsi="arial" w:cs="arial"/>
            <w:b/>
            <w:i/>
            <w:strike w:val="0"/>
            <w:noProof w:val="0"/>
            <w:color w:val="0077CC"/>
            <w:position w:val="0"/>
            <w:sz w:val="20"/>
            <w:u w:val="single"/>
            <w:vertAlign w:val="baseline"/>
          </w:rPr>
          <w:t>regulations</w:t>
        </w:r>
      </w:hyperlink>
      <w:hyperlink r:id="rId16" w:history="1">
        <w:r>
          <w:rPr>
            <w:rFonts w:ascii="arial" w:eastAsia="arial" w:hAnsi="arial" w:cs="arial"/>
            <w:b w:val="0"/>
            <w:i/>
            <w:strike w:val="0"/>
            <w:noProof w:val="0"/>
            <w:color w:val="0077CC"/>
            <w:position w:val="0"/>
            <w:sz w:val="20"/>
            <w:u w:val="single"/>
            <w:vertAlign w:val="baseline"/>
          </w:rPr>
          <w:t>.gov/#!docket</w:t>
        </w:r>
      </w:hyperlink>
      <w:r>
        <w:rPr>
          <w:rFonts w:ascii="arial" w:eastAsia="arial" w:hAnsi="arial" w:cs="arial"/>
          <w:b w:val="0"/>
          <w:i/>
          <w:strike w:val="0"/>
          <w:noProof w:val="0"/>
          <w:color w:val="000000"/>
          <w:position w:val="0"/>
          <w:sz w:val="20"/>
          <w:u w:val="none"/>
          <w:vertAlign w:val="baseline"/>
        </w:rPr>
        <w:t xml:space="preserve"> Detail; D=ED-2013-ICCD-0047</w:t>
      </w:r>
      <w:r>
        <w:rPr>
          <w:rFonts w:ascii="arial" w:eastAsia="arial" w:hAnsi="arial" w:cs="arial"/>
          <w:b w:val="0"/>
          <w:i w:val="0"/>
          <w:strike w:val="0"/>
          <w:noProof w:val="0"/>
          <w:color w:val="000000"/>
          <w:position w:val="0"/>
          <w:sz w:val="20"/>
          <w:u w:val="none"/>
          <w:vertAlign w:val="baseline"/>
        </w:rPr>
        <w:t xml:space="preserve">. For more information about RDA, see </w:t>
      </w:r>
      <w:hyperlink r:id="rId17" w:history="1">
        <w:r>
          <w:rPr>
            <w:rFonts w:ascii="arial" w:eastAsia="arial" w:hAnsi="arial" w:cs="arial"/>
            <w:b w:val="0"/>
            <w:i/>
            <w:strike w:val="0"/>
            <w:noProof w:val="0"/>
            <w:color w:val="0077CC"/>
            <w:position w:val="0"/>
            <w:sz w:val="20"/>
            <w:u w:val="single"/>
            <w:vertAlign w:val="baseline"/>
          </w:rPr>
          <w:t>http://www2.ed.gov/about/offices/list/osers/osep/rda/index.html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priority is to fund a Center that will support the efforts of postsecondary institutions, SEAs, LEAs, State VR Agencies, VR service providers, and other relevant organizations and public agencies, to more effectively address the postsecondary, vocational, technical, continuing, and adult education (postsecondary education and training) needs of individuals who are deaf or hard of hearing, including those who have co-occurring disabilities, such as learning and emotional disabilities, and those who are English learners.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Center must achieve, at a minimum, the following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Increased numbers of individuals who are deaf or hard of hearing who, without requiring remedial coursework, are admitted to, persist in, and complete college or other postsecondary education and training programs, including adult basic education and developmental education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Improved collaboration among postsecondary institutions, SEAs, LEAs, State VR agencies, VR service providers, and other relevant organizations and public agencies so they are more effective at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Identifying roles, responsibilities, and procedures for outreach to individuals who are deaf or hard of hearing and who are interested in pursuing postsecondary education and training, including outreach to secondary school students who have identified postsecondary education and training goals as part of an individualized education program or individualized plan for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Identifying education and employment training opportunities for individuals who are deaf or hard of hearing and who are not college bound;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Improving the ability of individuals who are deaf or hard of hearing to be effective self-advocates in postsecondary education and training settings;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Providing TA and services to individuals who are deaf or hard of hearing and their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Improved capacity of postsecondary institutions, SEAs, LEAs, State VR agencies, VR service providers, and other relevant organizations and public agencies to implement evidence-based (as defined in this notice) practices and strategies designed to increase the number of individuals who are deaf or hard of hearing who, without requiring remedial coursework, are admitted to, persist in, and complete college or other postsecondary education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An increased body of knowledge on how to effectively utilize technology to promote access and provide accommodations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high-quality captioning, note-taking, and interpreting services) for individuals who are deaf or hard of hearing in postsecondary education and training settings;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Expanded dissemination of lessons learned from implementing evidence-based practices and strategies to inform national, State, and local efforts to improve postsecondary education and training outcomes for individuals who are deaf or hard of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these programmatic requirements, to be considered for funding under this priority, applicants must meet the application and administrative requirements in this priority. OSEP encourages innovative approaches to meet the following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Demonstrate, in the narrative section of the application under "Significance of the Project," how the proposed project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Address the training and information needs of postsecondary institutions, SEAs, LEAs, State VR agencies, VR service providers, and other relevant organizations and public agencies for better implementing evidence-based practices and strategies that will increase the number of individuals who are deaf or hard of hearing who, without remedial coursework, are admitted to, persist in, and complete college or other postsecondary education and training, including adult basic education and developmental education programs. To meet this requirement,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Include a project design that is evidence-based;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Present applicable national and State data demonstrating the training needs of postsecondary institutions, SEAs, LEAs, State VR agencies, VR service providers, and other relevant organizations and public agencies for better implementing evidence-based practices and strategies that will increase the success of students who are deaf or hard of hearing in postsecondary education and training;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Identify current issues and policy initiatives in secondary transition, postsecondary education, career preparation, and employment for students who are deaf or hard of hearing; and </w:t>
      </w:r>
      <w:r>
        <w:rPr>
          <w:rFonts w:ascii="arial" w:eastAsia="arial" w:hAnsi="arial" w:cs="arial"/>
          <w:b/>
          <w:i w:val="0"/>
          <w:strike w:val="0"/>
          <w:noProof w:val="0"/>
          <w:color w:val="000000"/>
          <w:position w:val="0"/>
          <w:sz w:val="20"/>
          <w:u w:val="none"/>
          <w:vertAlign w:val="baseline"/>
        </w:rPr>
        <w:t> [*11542]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Address the current and emerging needs of postsecondary institutions, SEAs, LEAs, State VR agencies, VR service providers, and other relevant organizations and public agencies for better implementing SSIP strategies to improve postsecondary education and training outcomes for students who are deaf or hard of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Demonstrate, in the narrative section of the application under "Quality of the Project Services," how the proposed project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Ensure equal access and treatment for members of groups that have historically been underrepresented based on race, color, national origin, gender, age, or disability in accessing postsecondary education and training. To meet this requirement, the applicant must describe how it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Identify the needs of intended recipients for TA and information;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Ensure that services and products meet the needs of the intended recipients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creating materials in formats and languages accessible to the stakeholders served by the intended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Achieve its goals, objectives, and intended outcomes. To meet this requirement, the applicant must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Measurable intended project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 logic model that depicts, at a minimum, the goals, activities, outputs, and outcomes of the proposed project. A logic model communicates how a project will achieve its outcomes and provides a framework for both the formative and summative evaluations of the project;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 conceptual framework to develop project plans and activities, describing any underlying concepts, assumptions, expectations, beliefs, or theories, as well as the presumed relationships or linkages among these variables, and any empirical support for this framework;</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Section 77.1(c) of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contains a definition for "logic model" that incorporates the term "conceptual framework" into that definition. In the TA&amp;D Technical Assistance and Dissemination program priorities, OSEP has chosen to keep the two concepts separate in an effort to promote a fuller description of both the theory behind the proposed project and how that theory is operationalized in a logic model that depicts how the project will work. The following Web sites provide examples for constructing logic models: </w:t>
      </w:r>
      <w:hyperlink r:id="rId18" w:history="1">
        <w:r>
          <w:rPr>
            <w:rFonts w:ascii="arial" w:eastAsia="arial" w:hAnsi="arial" w:cs="arial"/>
            <w:b w:val="0"/>
            <w:i/>
            <w:strike w:val="0"/>
            <w:noProof w:val="0"/>
            <w:color w:val="0077CC"/>
            <w:position w:val="0"/>
            <w:sz w:val="20"/>
            <w:u w:val="single"/>
            <w:vertAlign w:val="baseline"/>
          </w:rPr>
          <w:t>www.researchutilization.org/matrix/logicmodel_resource3c.html</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www.osepideasthatwork.org/logicModel/index.asp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Be based on current research and make use of evidence-based practices and strategies. To meet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current research on the most effective ways to support students who are deaf or hard of hearing in postsecondary education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current research on the use of adult learning principles and implementation science to inform the proposed TA;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How the proposed project will incorporate both current research identified in paragraphs (3)(i) and (ii) and evidence-based practices and strategies to facilitate the development and delivery of its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Develop products, create training modules, and hold meetings to encourage collaborative activities between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Provide TA that is of high quality and sufficient intensity and duration to achieve the intended outcomes of the proposed project. To address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How it proposes to identify and increase the number of students who are deaf or hard of hearing who, without requiring remedial coursework, are admitted to, persist in, and complete college or other postsecondary education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Its proposed approach to universal, general TA, n2 which must identify the intended recipients of the products and services under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"Universal, general TA" means TA and information provided to independent users through their own initiative, resulting in minimal interaction with TA center staff and including one-time, invited or offered conference presentations by TA center staff. This category of TA also includes information or products, such as newsletters, guidebooks, or research syntheses, downloaded from the TA center's Web site by independent users. Brief communications by TA center staff with recipients, either by telephone or email, are also considered universal, general 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Its proposed approach to targeted, specialized TA, n3 which must identify--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"Targeted, specialized TA" means TA based on needs common to multiple recipients and not extensively individualized. A relationship is established between the TA recipient and one or more TA center staff. This category of TA includes one-time, labor-intensive events, such as facilitating strategic planning or hosting regional or national conferences. It can also include episodic, less labor-intensive events that extend over a period of time, such as facilitating a series of conference calls on single or multiple topics that are designed around the needs of the recipients. Facilitating communities of practice can also be considered targeted, specialized 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intended recipients of the products and services under this approach;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Its proposed approach to measure the readiness of potential TA recipients to work with the project, assessing, at a minimum, their current infrastructure, available resources, and ability to build capacity at a local level;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Its proposed approach to intensive, sustained TA, n4 which must identify--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"Intensive, sustained TA" means TA services often provided onsite and requiring a stable, ongoing relationship between the TA center staff and the TA recipient. "TA services" are defined as a negotiated series of activities designed to reach a valued outcome. This category of TA should result in changes to policy, program, practice, or operations that support increased recipient capacity or improved outcomes at one or more systems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intended recipients of the products and services under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Its proposed approach to measure the readiness of postsecondary institutions, SEAs, LEAs, State VR Agencies, VR service providers, and other relevant organizations and public agencies to work with the project, including their commitment to the initiative, alignment of the initiative to their needs, current infrastructure, available resources, and ability to build capacity at the local, district, or State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Its proposed plan for assisting postsecondary institutions, SEAs, LEAs, State VR Agencies, VR service providers, and other relevant organizations and public agencies to build training systems that include professional development based on adult learning principles and coaching;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Its proposed plan for working with students, families, postsecondary institutions, SEAs, LEAs, State VR agencies, VR service providers, and other relevant organizations and public agencies at the State and local levels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TA providers, schools, transition coordinators, guidance counselors, career and technical education educators, Department of Labor personnel, private industry, postsecondary education professional(s)) to ensure there is communication between each level and there are systems in place to effectively address the postsecondary education and training needs of individuals who are deaf or hard of hearing, including those who have co-occurring disabilities, such as learning and emotional disabilities, and those who are English learners;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Develop products and implement services that maximize efficiency. To address this requirement, the applicant must describe-- </w:t>
      </w:r>
      <w:r>
        <w:rPr>
          <w:rFonts w:ascii="arial" w:eastAsia="arial" w:hAnsi="arial" w:cs="arial"/>
          <w:b/>
          <w:i w:val="0"/>
          <w:strike w:val="0"/>
          <w:noProof w:val="0"/>
          <w:color w:val="000000"/>
          <w:position w:val="0"/>
          <w:sz w:val="20"/>
          <w:u w:val="none"/>
          <w:vertAlign w:val="baseline"/>
        </w:rPr>
        <w:t> [*11543]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How the proposed project will use technology to achieve the intended project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With whom the proposed project will collaborate and the intended outcome of this collaboration;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How the proposed project will use non-project resources to achieve the intended project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 the narrative section of the application under "Quality of the Evaluation Plan," include an evaluation plan for the project as described in the following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evaluation plan must describe measures of: Progress in implementation, including the extent to which the project's products and services have reached their target population; intended outcomes or results of the project's activities in order to evaluate those activities; and how well the goals or objectives of the proposed project, as described in its logic model, have been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designing the evaluation plan, the project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Designate, with the approval of the OSEP project officer, a project liaison staff person with sufficient dedicated time, experience in evaluation, and knowledge of the project to work in collaboration with the Center to Improve Project Performance (CIPP), n5 the Center's project director, and the OSEP project officer on the following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The major tasks of CIPP are to guide, coordinate, and oversee the design of formative evaluations for every large discretionary investment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awarded $ 500,000 or more per year and required to participate in the 3+2 process) in OSEP's Technical Assistance and Dissemination; Personnel Development; Parent Training and Information Centers; and Educational Technology, Media, and Materials programs. The efforts of CIPP are expected to enhance individual project evaluation plans by providing expert and unbiased TA in designing the evaluations with due consideration of the project's budget. CIPP does not function as a third-party evaluator.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Revise, as needed, the logic model submitted in the grant application to provide for a more comprehensive measurement of implementation and outcomes and to reflect any changes or clarifications to the model discussed at the kick-off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Refine the evaluation design and instrumentation proposed in the grant application consistent with the logic model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preparing evaluation questions about significant program processes and outcomes; developing quantitative or qualitative data collections that permit both the collection of progress data, including fidelity of implementation, as appropriate, and the assessment of project outcomes; selecting respondent samples if appropriate; designing instruments or identifying data sources; and identifying analytic strategies);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Revise, as needed, the evaluation plan submitted in the grant application such that it clearly--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Specifies the measures and associated instruments or sources for data appropriate to the evaluation questions, suggests analytic strategies for those data, provides a timeline for conducting the evaluation, and includes staff assignments for completing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Delineates the data expected to be available by the end of the second project year for use during the project's intensive review for continued funding described under the heading </w:t>
      </w:r>
      <w:r>
        <w:rPr>
          <w:rFonts w:ascii="arial" w:eastAsia="arial" w:hAnsi="arial" w:cs="arial"/>
          <w:b w:val="0"/>
          <w:i/>
          <w:strike w:val="0"/>
          <w:noProof w:val="0"/>
          <w:color w:val="000000"/>
          <w:position w:val="0"/>
          <w:sz w:val="20"/>
          <w:u w:val="none"/>
          <w:vertAlign w:val="baseline"/>
        </w:rPr>
        <w:t>Fourth and Fifth Years of the Project;</w:t>
      </w:r>
      <w:r>
        <w:rPr>
          <w:rFonts w:ascii="arial" w:eastAsia="arial" w:hAnsi="arial" w:cs="arial"/>
          <w:b w:val="0"/>
          <w:i w:val="0"/>
          <w:strike w:val="0"/>
          <w:noProof w:val="0"/>
          <w:color w:val="000000"/>
          <w:position w:val="0"/>
          <w:sz w:val="20"/>
          <w:u w:val="none"/>
          <w:vertAlign w:val="baseline"/>
        </w:rPr>
        <w:t xml:space="preser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Can be used to assist the project director and the OSEP project officer, with the assistance of CIPP, as needed, to specify the performance measures to be addressed in the project's Annual Performance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Cooperate with CIPP staff in order to accomplish the tasks described in paragraph (1) of this section;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Dedicate sufficient funds in each budget year to cover the costs of carrying out the tasks described in paragraphs (1) and (2) of this section and implementing the evaluation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Demonstrate, in the narrative section of the application under "Adequacy of Project Resources,"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project will encourage applications for employment from persons who are members of groups that have historically been underrepresented based on race, color, national origin, gender, age, or disability,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proposed key project personnel, consultants, and subcontractors have the qualifications and experience to carry out the proposed activities and achieve the project's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applicant and any key partners have adequate resources to carry out the proposed activities;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proposed costs are reasonable in relation to the anticipated results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Demonstrate, in the narrative section of the application under "Quality of the Management Plan,"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management plan will ensure that the project's intended outcomes will be achieved on time and within budget. To address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Clearly defined responsibilities for key project personnel, consultants, and subcontractors, as appropriate;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Timelines and milestones for accomplishing the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Key project personnel and any consultants and subcontractors will be allocated to the project and how these allocations are appropriate and adequate to achieve the project's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proposed management plan will ensure that the products and services provided are of high quality;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proposed project will benefit from a diversity of perspectives, including students, families, transition specialists, career and technical education professionals, school guidance counselors, postsecondary education professionals, VR counselors, private industry, TA providers, researchers, and policy makers, among others, in its development and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Address the following application requirements.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Include, in Appendix A, a logic model as described in paragraph (b)(2)(ii) of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Include, in Appendix A, a conceptual framework for the project as described in paragraph (b)(2)(iii) of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Include, in Appendix A, person-loading charts and timelines as applicable, to illustrate the management plan described in the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Include, in the budget, attendance at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one and one-half day kick-off meeting in Washington, DC after receipt of the award, and an annual planning meeting in Washington, DC, with the OSEP project officer and other relevant staff during each subsequent year of the project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Within 30 days of receipt of the award, a post-award teleconference must be held between the OSEP project officer and the grantee's project director or other authorized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 two and one-half day project directors' conference in Washington, DC during each year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Two annual two-day trips to attend Department briefings, Department-sponsored conferences, and other meetings, as requested by OSEP;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 one-day intensive review meeting in Washington, DC, during the last half of the second year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Include, in the budget, a line item for an annual set-aside of five percent of the grant amount to support emerging needs that are consistent with the </w:t>
      </w:r>
      <w:r>
        <w:rPr>
          <w:rFonts w:ascii="arial" w:eastAsia="arial" w:hAnsi="arial" w:cs="arial"/>
          <w:b/>
          <w:i w:val="0"/>
          <w:strike w:val="0"/>
          <w:noProof w:val="0"/>
          <w:color w:val="000000"/>
          <w:position w:val="0"/>
          <w:sz w:val="20"/>
          <w:u w:val="none"/>
          <w:vertAlign w:val="baseline"/>
        </w:rPr>
        <w:t> [*11544] </w:t>
      </w:r>
      <w:r>
        <w:rPr>
          <w:rFonts w:ascii="arial" w:eastAsia="arial" w:hAnsi="arial" w:cs="arial"/>
          <w:b w:val="0"/>
          <w:i w:val="0"/>
          <w:strike w:val="0"/>
          <w:noProof w:val="0"/>
          <w:color w:val="000000"/>
          <w:position w:val="0"/>
          <w:sz w:val="20"/>
          <w:u w:val="none"/>
          <w:vertAlign w:val="baseline"/>
        </w:rPr>
        <w:t xml:space="preserve"> proposed project's intended outcomes, as those needs are identified in consultation with OSEP.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With approval from the OSEP project officer, the project must reallocate any remaining funds from this annual set-aside no later than the end of the third quarter of each budget period;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Maintain a Web site that meets government or industry-recognized standards for accessibility.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Fourth and Fifth Years of the Project: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deciding whether to continue funding the project for the fourth and fifth years, the Secretary will consider the requirements of </w:t>
      </w:r>
      <w:hyperlink r:id="rId20" w:history="1">
        <w:r>
          <w:rPr>
            <w:rFonts w:ascii="arial" w:eastAsia="arial" w:hAnsi="arial" w:cs="arial"/>
            <w:b w:val="0"/>
            <w:i/>
            <w:strike w:val="0"/>
            <w:noProof w:val="0"/>
            <w:color w:val="0077CC"/>
            <w:position w:val="0"/>
            <w:sz w:val="20"/>
            <w:u w:val="single"/>
            <w:vertAlign w:val="baseline"/>
          </w:rPr>
          <w:t>34 CFR 75.253(a)</w:t>
        </w:r>
      </w:hyperlink>
      <w:r>
        <w:rPr>
          <w:rFonts w:ascii="arial" w:eastAsia="arial" w:hAnsi="arial" w:cs="arial"/>
          <w:b w:val="0"/>
          <w:i w:val="0"/>
          <w:strike w:val="0"/>
          <w:noProof w:val="0"/>
          <w:color w:val="000000"/>
          <w:position w:val="0"/>
          <w:sz w:val="20"/>
          <w:u w:val="none"/>
          <w:vertAlign w:val="baseline"/>
        </w:rPr>
        <w:t>, as well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recommendation of a review team consisting of experts selected by the Secretary. This review will be conducted by OSEP during a one-day intensive meeting that will be held during the last half of the second year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timeliness with which, and how well, the requirements of the negotiated cooperative agreement have been or are being met by the project;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Whether the quality, relevance, and usefulness of the project's products and services are aligned with the project's objectives and likely to result in the project achieving its intended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References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Cawthon, S.W., Garberoglio, C., Caemmerer, J.M., Bond, M.P., Leppo, R.H., Schoffstall, S.J., Rainey, J.C., &amp; Hamilton, G.A. (2014). Professional preparedness and perspectives on transition for individuals who are deaf or hard of hearing. </w:t>
      </w:r>
      <w:r>
        <w:rPr>
          <w:rFonts w:ascii="arial" w:eastAsia="arial" w:hAnsi="arial" w:cs="arial"/>
          <w:b w:val="0"/>
          <w:i/>
          <w:strike w:val="0"/>
          <w:noProof w:val="0"/>
          <w:color w:val="000000"/>
          <w:position w:val="0"/>
          <w:sz w:val="20"/>
          <w:u w:val="none"/>
          <w:vertAlign w:val="baseline"/>
        </w:rPr>
        <w:t>Career Development and Transition for Exceptional Individuals.</w:t>
      </w:r>
      <w:r>
        <w:rPr>
          <w:rFonts w:ascii="arial" w:eastAsia="arial" w:hAnsi="arial" w:cs="arial"/>
          <w:b w:val="0"/>
          <w:i w:val="0"/>
          <w:strike w:val="0"/>
          <w:noProof w:val="0"/>
          <w:color w:val="000000"/>
          <w:position w:val="0"/>
          <w:sz w:val="20"/>
          <w:u w:val="none"/>
          <w:vertAlign w:val="baseline"/>
        </w:rPr>
        <w:t xml:space="preserve"> Retrieved from </w:t>
      </w:r>
      <w:hyperlink r:id="rId21" w:history="1">
        <w:r>
          <w:rPr>
            <w:rFonts w:ascii="arial" w:eastAsia="arial" w:hAnsi="arial" w:cs="arial"/>
            <w:b w:val="0"/>
            <w:i/>
            <w:strike w:val="0"/>
            <w:noProof w:val="0"/>
            <w:color w:val="0077CC"/>
            <w:position w:val="0"/>
            <w:sz w:val="20"/>
            <w:u w:val="single"/>
            <w:vertAlign w:val="baseline"/>
          </w:rPr>
          <w:t>http://cde.sagepub.com/content/early/2014/10/16/2165143414553025.full.pdf+html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Cawthon, S.W., &amp; Leppo, R. (2013). Accommodations quality for students who are deaf or hard of hearing. </w:t>
      </w:r>
      <w:r>
        <w:rPr>
          <w:rFonts w:ascii="arial" w:eastAsia="arial" w:hAnsi="arial" w:cs="arial"/>
          <w:b w:val="0"/>
          <w:i/>
          <w:strike w:val="0"/>
          <w:noProof w:val="0"/>
          <w:color w:val="000000"/>
          <w:position w:val="0"/>
          <w:sz w:val="20"/>
          <w:u w:val="none"/>
          <w:vertAlign w:val="baseline"/>
        </w:rPr>
        <w:t>American Annals of the Deaf, 158,</w:t>
      </w:r>
      <w:r>
        <w:rPr>
          <w:rFonts w:ascii="arial" w:eastAsia="arial" w:hAnsi="arial" w:cs="arial"/>
          <w:b w:val="0"/>
          <w:i w:val="0"/>
          <w:strike w:val="0"/>
          <w:noProof w:val="0"/>
          <w:color w:val="000000"/>
          <w:position w:val="0"/>
          <w:sz w:val="20"/>
          <w:u w:val="none"/>
          <w:vertAlign w:val="baseline"/>
        </w:rPr>
        <w:t xml:space="preserve"> 438-452.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Cawthon, S.W., Nichols, S.K., &amp; Collier, M. (2009). Facilitating access: What information do Texas postsecondary institutions provide on accommodations and services for students who are deaf or hard of hearing? </w:t>
      </w:r>
      <w:r>
        <w:rPr>
          <w:rFonts w:ascii="arial" w:eastAsia="arial" w:hAnsi="arial" w:cs="arial"/>
          <w:b w:val="0"/>
          <w:i/>
          <w:strike w:val="0"/>
          <w:noProof w:val="0"/>
          <w:color w:val="000000"/>
          <w:position w:val="0"/>
          <w:sz w:val="20"/>
          <w:u w:val="none"/>
          <w:vertAlign w:val="baseline"/>
        </w:rPr>
        <w:t>American Annals of the Deaf, 155</w:t>
      </w:r>
      <w:r>
        <w:rPr>
          <w:rFonts w:ascii="arial" w:eastAsia="arial" w:hAnsi="arial" w:cs="arial"/>
          <w:b w:val="0"/>
          <w:i w:val="0"/>
          <w:strike w:val="0"/>
          <w:noProof w:val="0"/>
          <w:color w:val="000000"/>
          <w:position w:val="0"/>
          <w:sz w:val="20"/>
          <w:u w:val="none"/>
          <w:vertAlign w:val="baseline"/>
        </w:rPr>
        <w:t xml:space="preserve"> (5), 450-460.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Convertino, C.M., Marschark, M., Sapere, P., Sarchet, T., &amp; Zupan, M. (2009). Predicting academic success among deaf college students. </w:t>
      </w:r>
      <w:r>
        <w:rPr>
          <w:rFonts w:ascii="arial" w:eastAsia="arial" w:hAnsi="arial" w:cs="arial"/>
          <w:b w:val="0"/>
          <w:i/>
          <w:strike w:val="0"/>
          <w:noProof w:val="0"/>
          <w:color w:val="000000"/>
          <w:position w:val="0"/>
          <w:sz w:val="20"/>
          <w:u w:val="none"/>
          <w:vertAlign w:val="baseline"/>
        </w:rPr>
        <w:t>Journal of Deaf Studies and Deaf Education, 14</w:t>
      </w:r>
      <w:r>
        <w:rPr>
          <w:rFonts w:ascii="arial" w:eastAsia="arial" w:hAnsi="arial" w:cs="arial"/>
          <w:b w:val="0"/>
          <w:i w:val="0"/>
          <w:strike w:val="0"/>
          <w:noProof w:val="0"/>
          <w:color w:val="000000"/>
          <w:position w:val="0"/>
          <w:sz w:val="20"/>
          <w:u w:val="none"/>
          <w:vertAlign w:val="baseline"/>
        </w:rPr>
        <w:t xml:space="preserve"> (3), 324-343.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Partners in Transition Strategic Planning Committee. (2015). The 2020 Federal youth transition plan: A Federal interagency strategy. Washington, DC: U.S. Department of Labor, Office of Disability Employment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Ferrell, K.A., Bruce, S., &amp; Luckner, J. L. (2014). Evidence-based practices for students with sensory impairments (Document No. IC-4). Retrieved from University of Florida, Collaboration for Effective Educator, Development, Accountability, and Reform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Landmark, L.J., Ju, S., &amp; Zhang, D. (2010). Substantiated best practices in transition: Fifteen plus years later. </w:t>
      </w:r>
      <w:r>
        <w:rPr>
          <w:rFonts w:ascii="arial" w:eastAsia="arial" w:hAnsi="arial" w:cs="arial"/>
          <w:b w:val="0"/>
          <w:i/>
          <w:strike w:val="0"/>
          <w:noProof w:val="0"/>
          <w:color w:val="000000"/>
          <w:position w:val="0"/>
          <w:sz w:val="20"/>
          <w:u w:val="none"/>
          <w:vertAlign w:val="baseline"/>
        </w:rPr>
        <w:t>Career Development for Exceptional Individuals, 33,</w:t>
      </w:r>
      <w:r>
        <w:rPr>
          <w:rFonts w:ascii="arial" w:eastAsia="arial" w:hAnsi="arial" w:cs="arial"/>
          <w:b w:val="0"/>
          <w:i w:val="0"/>
          <w:strike w:val="0"/>
          <w:noProof w:val="0"/>
          <w:color w:val="000000"/>
          <w:position w:val="0"/>
          <w:sz w:val="20"/>
          <w:u w:val="none"/>
          <w:vertAlign w:val="baseline"/>
        </w:rPr>
        <w:t xml:space="preserve"> 165-176.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 H.G. (2002). Higher education for deaf students: Research priorities in the new millennium. </w:t>
      </w:r>
      <w:r>
        <w:rPr>
          <w:rFonts w:ascii="arial" w:eastAsia="arial" w:hAnsi="arial" w:cs="arial"/>
          <w:b w:val="0"/>
          <w:i/>
          <w:strike w:val="0"/>
          <w:noProof w:val="0"/>
          <w:color w:val="000000"/>
          <w:position w:val="0"/>
          <w:sz w:val="20"/>
          <w:u w:val="none"/>
          <w:vertAlign w:val="baseline"/>
        </w:rPr>
        <w:t>Journal of Deaf Studies and Deaf Education, 7</w:t>
      </w:r>
      <w:r>
        <w:rPr>
          <w:rFonts w:ascii="arial" w:eastAsia="arial" w:hAnsi="arial" w:cs="arial"/>
          <w:b w:val="0"/>
          <w:i w:val="0"/>
          <w:strike w:val="0"/>
          <w:noProof w:val="0"/>
          <w:color w:val="000000"/>
          <w:position w:val="0"/>
          <w:sz w:val="20"/>
          <w:u w:val="none"/>
          <w:vertAlign w:val="baseline"/>
        </w:rPr>
        <w:t xml:space="preserve"> (4), 267-280.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Luft, P. (2014). A national survey of transition services for deaf and hard of hearing. </w:t>
      </w:r>
      <w:r>
        <w:rPr>
          <w:rFonts w:ascii="arial" w:eastAsia="arial" w:hAnsi="arial" w:cs="arial"/>
          <w:b w:val="0"/>
          <w:i/>
          <w:strike w:val="0"/>
          <w:noProof w:val="0"/>
          <w:color w:val="000000"/>
          <w:position w:val="0"/>
          <w:sz w:val="20"/>
          <w:u w:val="none"/>
          <w:vertAlign w:val="baseline"/>
        </w:rPr>
        <w:t>Career Development and Transition for Exceptional Individuals, 37</w:t>
      </w:r>
      <w:r>
        <w:rPr>
          <w:rFonts w:ascii="arial" w:eastAsia="arial" w:hAnsi="arial" w:cs="arial"/>
          <w:b w:val="0"/>
          <w:i w:val="0"/>
          <w:strike w:val="0"/>
          <w:noProof w:val="0"/>
          <w:color w:val="000000"/>
          <w:position w:val="0"/>
          <w:sz w:val="20"/>
          <w:u w:val="none"/>
          <w:vertAlign w:val="baseline"/>
        </w:rPr>
        <w:t xml:space="preserve"> (3) 177-192.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Luft, P., &amp; Huff, K. (2011). How prepared are transition-age deaf and hard of hearing students for adult living? Results of the Transition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Battery. </w:t>
      </w:r>
      <w:r>
        <w:rPr>
          <w:rFonts w:ascii="arial" w:eastAsia="arial" w:hAnsi="arial" w:cs="arial"/>
          <w:b w:val="0"/>
          <w:i/>
          <w:strike w:val="0"/>
          <w:noProof w:val="0"/>
          <w:color w:val="000000"/>
          <w:position w:val="0"/>
          <w:sz w:val="20"/>
          <w:u w:val="none"/>
          <w:vertAlign w:val="baseline"/>
        </w:rPr>
        <w:t>American Annals of the Deaf, 155</w:t>
      </w:r>
      <w:r>
        <w:rPr>
          <w:rFonts w:ascii="arial" w:eastAsia="arial" w:hAnsi="arial" w:cs="arial"/>
          <w:b w:val="0"/>
          <w:i w:val="0"/>
          <w:strike w:val="0"/>
          <w:noProof w:val="0"/>
          <w:color w:val="000000"/>
          <w:position w:val="0"/>
          <w:sz w:val="20"/>
          <w:u w:val="none"/>
          <w:vertAlign w:val="baseline"/>
        </w:rPr>
        <w:t xml:space="preserve"> (5), 569-579.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Marschark, M. (2001). Language development in children who are deaf: A research synthesis. Alexandria, VA: National Association of State Directors of Special Education. Retrieved from </w:t>
      </w:r>
      <w:hyperlink r:id="rId22" w:history="1">
        <w:r>
          <w:rPr>
            <w:rFonts w:ascii="arial" w:eastAsia="arial" w:hAnsi="arial" w:cs="arial"/>
            <w:b w:val="0"/>
            <w:i/>
            <w:strike w:val="0"/>
            <w:noProof w:val="0"/>
            <w:color w:val="0077CC"/>
            <w:position w:val="0"/>
            <w:sz w:val="20"/>
            <w:u w:val="single"/>
            <w:vertAlign w:val="baseline"/>
          </w:rPr>
          <w:t>www.nasdse.org</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National Agenda Steering Committee. (2005). National agenda: Moving forward on achieving educational equality for deaf and hard of hearing students. Retrieved from </w:t>
      </w:r>
      <w:hyperlink r:id="rId23" w:history="1">
        <w:r>
          <w:rPr>
            <w:rFonts w:ascii="arial" w:eastAsia="arial" w:hAnsi="arial" w:cs="arial"/>
            <w:b w:val="0"/>
            <w:i/>
            <w:strike w:val="0"/>
            <w:noProof w:val="0"/>
            <w:color w:val="0077CC"/>
            <w:position w:val="0"/>
            <w:sz w:val="20"/>
            <w:u w:val="single"/>
            <w:vertAlign w:val="baseline"/>
          </w:rPr>
          <w:t>www.ndepnow.org/pdfs/national_agenda.pdf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Council on Disability. (2008). The Rehabilitation Act: Outcomes for transition-age youth. Washington, DC: Author.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Newman, L., Wagner, M., Cameto, R., &amp; Knokey, A. M. (2009). The post-high school outcomes of youth with disabilities up to 4 years after high school: A report from the National Longitudinal Transition Study-2 (NLTS2). Menlo Park, CA: SRI International. Retrieved from </w:t>
      </w:r>
      <w:hyperlink r:id="rId24" w:history="1">
        <w:r>
          <w:rPr>
            <w:rFonts w:ascii="arial" w:eastAsia="arial" w:hAnsi="arial" w:cs="arial"/>
            <w:b w:val="0"/>
            <w:i/>
            <w:strike w:val="0"/>
            <w:noProof w:val="0"/>
            <w:color w:val="0077CC"/>
            <w:position w:val="0"/>
            <w:sz w:val="20"/>
            <w:u w:val="single"/>
            <w:vertAlign w:val="baseline"/>
          </w:rPr>
          <w:t>www.nlts2.org/reports/2009_04/nlts2_report_2009_04_complete.pdf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Newman, L., Wagner, M., Knokey, A.M., Marder, C., Nagle, K., Shaver, D., Wei, X., with Cameto, R., Contreras, E., Ferguson, K., Greene, S., &amp; Schwarting, M. (2011). The post-high school outcomes of young adults with disabilities up to 8 years after high school. A report from the National Longitudinal Transition Study-2 (NLTS2) (NCSER 2011-3005). Menlo Park, CA: SRI International. Retrieved from </w:t>
      </w:r>
      <w:hyperlink r:id="rId25" w:history="1">
        <w:r>
          <w:rPr>
            <w:rFonts w:ascii="arial" w:eastAsia="arial" w:hAnsi="arial" w:cs="arial"/>
            <w:b w:val="0"/>
            <w:i/>
            <w:strike w:val="0"/>
            <w:noProof w:val="0"/>
            <w:color w:val="0077CC"/>
            <w:position w:val="0"/>
            <w:sz w:val="20"/>
            <w:u w:val="single"/>
            <w:vertAlign w:val="baseline"/>
          </w:rPr>
          <w:t>http://nlts2.org/reports/2011_09_02/nlts2_report_2011_09_02_complete.pdf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Raue, K., &amp; Lewis, L. (2011). Students with disabilities at degree-granting postsecondary institutions (NCES 2011-018). Washington, DC: National Center for Education Statistics, Institute of Education Sciences,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Test, D.W., Mazzotti, V.L., Mustian, A.L., Fowler, C.H., Kortering, L.J., &amp; Kohler, P.H. (2009). Evidence-based secondary transition predictors for improving post-school outcomes for students with disabilities. </w:t>
      </w:r>
      <w:r>
        <w:rPr>
          <w:rFonts w:ascii="arial" w:eastAsia="arial" w:hAnsi="arial" w:cs="arial"/>
          <w:b w:val="0"/>
          <w:i/>
          <w:strike w:val="0"/>
          <w:noProof w:val="0"/>
          <w:color w:val="000000"/>
          <w:position w:val="0"/>
          <w:sz w:val="20"/>
          <w:u w:val="none"/>
          <w:vertAlign w:val="baseline"/>
        </w:rPr>
        <w:t>Career Development for Exceptional Individuals, 32,</w:t>
      </w:r>
      <w:r>
        <w:rPr>
          <w:rFonts w:ascii="arial" w:eastAsia="arial" w:hAnsi="arial" w:cs="arial"/>
          <w:b w:val="0"/>
          <w:i w:val="0"/>
          <w:strike w:val="0"/>
          <w:noProof w:val="0"/>
          <w:color w:val="000000"/>
          <w:position w:val="0"/>
          <w:sz w:val="20"/>
          <w:u w:val="none"/>
          <w:vertAlign w:val="baseline"/>
        </w:rPr>
        <w:t xml:space="preserve"> 160-181.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Department of Education, Office for Civil Rights. (2005). Deaf students education services. Retrieved from </w:t>
      </w:r>
      <w:hyperlink r:id="rId26" w:history="1">
        <w:r>
          <w:rPr>
            <w:rFonts w:ascii="arial" w:eastAsia="arial" w:hAnsi="arial" w:cs="arial"/>
            <w:b w:val="0"/>
            <w:i/>
            <w:strike w:val="0"/>
            <w:noProof w:val="0"/>
            <w:color w:val="0077CC"/>
            <w:position w:val="0"/>
            <w:sz w:val="20"/>
            <w:u w:val="single"/>
            <w:vertAlign w:val="baseline"/>
          </w:rPr>
          <w:t>http://www2.ed.gov/about/offices/list/ocr/docs/hq9806.html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Government Accountability Office. (2011). Deaf and hard of hearing children: Federal support for developing language and literacy. Retrieved from </w:t>
      </w:r>
      <w:hyperlink r:id="rId27" w:history="1">
        <w:r>
          <w:rPr>
            <w:rFonts w:ascii="arial" w:eastAsia="arial" w:hAnsi="arial" w:cs="arial"/>
            <w:b w:val="0"/>
            <w:i/>
            <w:strike w:val="0"/>
            <w:noProof w:val="0"/>
            <w:color w:val="0077CC"/>
            <w:position w:val="0"/>
            <w:sz w:val="20"/>
            <w:u w:val="single"/>
            <w:vertAlign w:val="baseline"/>
          </w:rPr>
          <w:t>www.gao.gov/assets/320/318707.pdf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this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Evidence-based</w:t>
      </w:r>
      <w:r>
        <w:rPr>
          <w:rFonts w:ascii="arial" w:eastAsia="arial" w:hAnsi="arial" w:cs="arial"/>
          <w:b w:val="0"/>
          <w:i w:val="0"/>
          <w:strike w:val="0"/>
          <w:noProof w:val="0"/>
          <w:color w:val="000000"/>
          <w:position w:val="0"/>
          <w:sz w:val="20"/>
          <w:u w:val="none"/>
          <w:vertAlign w:val="baseline"/>
        </w:rPr>
        <w:t xml:space="preserve"> means supported by strong theory.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(APA)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the Department generally offers interested parties the opportunity to comment on proposed priorities and requirements. Section 681(d) of IDEA, however, makes the public comment requirements of the APA inapplicable to the priority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vertAlign w:val="baseline"/>
          </w:rPr>
          <w:t>20 U.S.C. 1462</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1463</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1474</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1481</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1482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EDGAR in 34 CFR parts 75, 77, 79, 81,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(IHEs)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Cooperative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Three programs plan to make available a total of $ 4,000,000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$ 1,300,000 from the TA&amp;D program; $ 1,700,000 from the Personnel Development program; and $ 1,000,000 from the ETechM2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w:t>
      </w:r>
      <w:r>
        <w:rPr>
          <w:rFonts w:ascii="arial" w:eastAsia="arial" w:hAnsi="arial" w:cs="arial"/>
          <w:b/>
          <w:i w:val="0"/>
          <w:strike w:val="0"/>
          <w:noProof w:val="0"/>
          <w:color w:val="000000"/>
          <w:position w:val="0"/>
          <w:sz w:val="20"/>
          <w:u w:val="none"/>
          <w:vertAlign w:val="baseline"/>
        </w:rPr>
        <w:t> [*11545] </w:t>
      </w:r>
      <w:r>
        <w:rPr>
          <w:rFonts w:ascii="arial" w:eastAsia="arial" w:hAnsi="arial" w:cs="arial"/>
          <w:b w:val="0"/>
          <w:i w:val="0"/>
          <w:strike w:val="0"/>
          <w:noProof w:val="0"/>
          <w:color w:val="000000"/>
          <w:position w:val="0"/>
          <w:sz w:val="20"/>
          <w:u w:val="none"/>
          <w:vertAlign w:val="baseline"/>
        </w:rPr>
        <w:t xml:space="preserve"> 2017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reject any application that proposes a budget exceeding $ 4,000,000 or the individual program budget amounts described in the note below for a single budget period of 12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 each budget period of 12 months, $ 1,300,000 must be budgeted under the TA&amp;D program (consistent with section 663(c)(8)(C) of IDEA); $ 1,700,000 must be budgeted under the Personnel Development program (consistent with section 662(c)(2) of IDEA); and $ 1,000,000 must be budgeted under the ETechM2 program (consistent with section 674(b) of IDEA).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36 months with an optional additional 24 months based on performance. Applications must include plans for both the 36-month award and the 24-month extension.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SEAs; LEAs, including public charter schools that are considered LEAs under State law; IHEs; other public agencies; private nonprofit organizations; freely associated States and outlying areas; Indian tribes or tribal organizations; and for-profit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Eligible Subgrantees:</w:t>
      </w:r>
      <w:r>
        <w:rPr>
          <w:rFonts w:ascii="arial" w:eastAsia="arial" w:hAnsi="arial" w:cs="arial"/>
          <w:b w:val="0"/>
          <w:i w:val="0"/>
          <w:strike w:val="0"/>
          <w:noProof w:val="0"/>
          <w:color w:val="000000"/>
          <w:position w:val="0"/>
          <w:sz w:val="20"/>
          <w:u w:val="none"/>
          <w:vertAlign w:val="baseline"/>
        </w:rPr>
        <w:t xml:space="preserve"> (a) Under </w:t>
      </w:r>
      <w:hyperlink r:id="rId29" w:history="1">
        <w:r>
          <w:rPr>
            <w:rFonts w:ascii="arial" w:eastAsia="arial" w:hAnsi="arial" w:cs="arial"/>
            <w:b w:val="0"/>
            <w:i/>
            <w:strike w:val="0"/>
            <w:noProof w:val="0"/>
            <w:color w:val="0077CC"/>
            <w:position w:val="0"/>
            <w:sz w:val="20"/>
            <w:u w:val="single"/>
            <w:vertAlign w:val="baseline"/>
          </w:rPr>
          <w:t>34 CFR 75.708(b)</w:t>
        </w:r>
      </w:hyperlink>
      <w:r>
        <w:rPr>
          <w:rFonts w:ascii="arial" w:eastAsia="arial" w:hAnsi="arial" w:cs="arial"/>
          <w:b w:val="0"/>
          <w:i w:val="0"/>
          <w:strike w:val="0"/>
          <w:noProof w:val="0"/>
          <w:color w:val="000000"/>
          <w:position w:val="0"/>
          <w:sz w:val="20"/>
          <w:u w:val="none"/>
          <w:vertAlign w:val="baseline"/>
        </w:rPr>
        <w:t xml:space="preserve"> and (c) a grantee may award subgrants--to directly carry out project activities described in its application--to the following types of entities: SEAs; LEAs, including public charter schools that are considered LEAs under State law; IHEs; other public agencies; private nonprofit organizations; freely associated States and outlying areas; Indian tribes or tribal organizations; and for-profit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grantee may award subgrants to entities it has identified in an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Other General Requirements:</w:t>
      </w:r>
      <w:r>
        <w:rPr>
          <w:rFonts w:ascii="arial" w:eastAsia="arial" w:hAnsi="arial" w:cs="arial"/>
          <w:b w:val="0"/>
          <w:i w:val="0"/>
          <w:strike w:val="0"/>
          <w:noProof w:val="0"/>
          <w:color w:val="000000"/>
          <w:position w:val="0"/>
          <w:sz w:val="20"/>
          <w:u w:val="none"/>
          <w:vertAlign w:val="baseline"/>
        </w:rPr>
        <w:t xml:space="preserve"> (a) Recipients of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make positive efforts to employ and advance in employment qualified individuals with disabilities (see section 606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Each applicant for, and recipient of, funding under this program must involve individuals with disabilities, or parents of individuals with disabilities ages birth through 26, in planning, implementing, and evaluating the project (see section 682(a)(1)(A) of IDEA).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30"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31"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32"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84.326D.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selection criteria that reviewers use to evaluate your application. You must limit Part III to no more than 70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Double-space (no more than three lines per vertical inch) all text in the application narrative, including titles, headings, footnotes, quotations, reference citations, and captions, as well as all text in charts, tables, figures, graphs, and screen shots.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12 point or larger.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and double-spacing requirements do not apply to Part I, the cover sheet; Part II, the budget section, including the narrative budget justification; Part IV, the assurances and certifications; or the abstract (follow the guidance provided in the application package for completing the abstract), the table of contents, the list of priority requirements, the resumes, the reference list, the letters of support, or the appendices. However, the page limit and double-spacing requirements do apply to all of Part III, the application narrative, including all text in charts, tables, figures, graphs, and screen 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 you exceed the page limit in the application narrative section or if you apply standards other than those specified in this notice and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Available: March 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Transmittal of Applications: April 18,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June 17,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 </w:t>
      </w:r>
      <w:r>
        <w:rPr>
          <w:rFonts w:ascii="arial" w:eastAsia="arial" w:hAnsi="arial" w:cs="arial"/>
          <w:b/>
          <w:i w:val="0"/>
          <w:strike w:val="0"/>
          <w:noProof w:val="0"/>
          <w:color w:val="000000"/>
          <w:position w:val="0"/>
          <w:sz w:val="20"/>
          <w:u w:val="none"/>
          <w:vertAlign w:val="baseline"/>
        </w:rPr>
        <w:t> [*11546]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33"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34"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35"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Postsecondary Education Center for Individuals who are Deaf or Hard of Hearing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CFDA number 84.326D, must be submitted electronically using the Governmentwide Grants.gov Apply site at </w:t>
      </w:r>
      <w:hyperlink r:id="rId36"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Postsecondary Education Center for Individuals who are Deaf or Hard of Hearing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36"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84.326, not 84.326D).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37"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Grants.gov, please refer to the Grants.gov Web site at: </w:t>
      </w:r>
      <w:hyperlink r:id="rId38"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w:t>
      </w:r>
      <w:r>
        <w:rPr>
          <w:rFonts w:ascii="arial" w:eastAsia="arial" w:hAnsi="arial" w:cs="arial"/>
          <w:b/>
          <w:i w:val="0"/>
          <w:strike w:val="0"/>
          <w:noProof w:val="0"/>
          <w:color w:val="000000"/>
          <w:position w:val="0"/>
          <w:sz w:val="20"/>
          <w:u w:val="none"/>
          <w:vertAlign w:val="baseline"/>
        </w:rPr>
        <w:t> [*11547] </w:t>
      </w:r>
      <w:r>
        <w:rPr>
          <w:rFonts w:ascii="arial" w:eastAsia="arial" w:hAnsi="arial" w:cs="arial"/>
          <w:b w:val="0"/>
          <w:i w:val="0"/>
          <w:strike w:val="0"/>
          <w:noProof w:val="0"/>
          <w:color w:val="000000"/>
          <w:position w:val="0"/>
          <w:sz w:val="20"/>
          <w:u w:val="none"/>
          <w:vertAlign w:val="baseline"/>
        </w:rPr>
        <w:t xml:space="preserve"> the material in question--for example, the project narrative--is critical to a meaningful review of your proposal. For that reason it is important to allow yourself adequate time to upload all material as PDF files. The Department will not convert material from other formats to PDF. Additional, detailed information on how to attach files is in the application instructions.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Grants.gov will also notify you automatically by email if your application met all the Grants.gov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your application is successfully validated by Grants.gov, the Department will retrieve your application from Grants.gov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emails do not mean that your application is without any disqualifying errors. While your application may have been successfully validated by Grants.gov,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Grants.gov system; </w:t>
      </w:r>
      <w:r>
        <w:rPr>
          <w:rFonts w:ascii="arial" w:eastAsia="arial" w:hAnsi="arial" w:cs="arial"/>
          <w:b w:val="0"/>
          <w:i/>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Louise Tripoli, U.S. Department of Education, 400 Maryland Avenue SW., Room 5132, Potomac Center Plaza, Washington, DC 20202-5108. FAX: (202) 245-7590.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84.326D),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84.326D), 550 12th </w:t>
      </w:r>
      <w:r>
        <w:rPr>
          <w:rFonts w:ascii="arial" w:eastAsia="arial" w:hAnsi="arial" w:cs="arial"/>
          <w:b/>
          <w:i w:val="0"/>
          <w:strike w:val="0"/>
          <w:noProof w:val="0"/>
          <w:color w:val="000000"/>
          <w:position w:val="0"/>
          <w:sz w:val="20"/>
          <w:u w:val="none"/>
          <w:vertAlign w:val="baseline"/>
        </w:rPr>
        <w:t> [*11548] </w:t>
      </w:r>
      <w:r>
        <w:rPr>
          <w:rFonts w:ascii="arial" w:eastAsia="arial" w:hAnsi="arial" w:cs="arial"/>
          <w:b w:val="0"/>
          <w:i w:val="0"/>
          <w:strike w:val="0"/>
          <w:noProof w:val="0"/>
          <w:color w:val="000000"/>
          <w:position w:val="0"/>
          <w:sz w:val="20"/>
          <w:u w:val="none"/>
          <w:vertAlign w:val="baseline"/>
        </w:rPr>
        <w:t xml:space="preserve">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w:t>
      </w:r>
      <w:hyperlink r:id="rId39"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and are listed in the application package.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40"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41"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45"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Additional Review and Selection Process Factors:</w:t>
      </w:r>
      <w:r>
        <w:rPr>
          <w:rFonts w:ascii="arial" w:eastAsia="arial" w:hAnsi="arial" w:cs="arial"/>
          <w:b w:val="0"/>
          <w:i w:val="0"/>
          <w:strike w:val="0"/>
          <w:noProof w:val="0"/>
          <w:color w:val="000000"/>
          <w:position w:val="0"/>
          <w:sz w:val="20"/>
          <w:u w:val="none"/>
          <w:vertAlign w:val="baseline"/>
        </w:rPr>
        <w:t xml:space="preserve"> In the past, the Department has had difficulty finding peer reviewers for certain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because so many individuals who are eligible to serve as peer reviewers have conflicts of interest. The standing panel requirements under section 682(b) of IDEA also have placed additional constraints on the availability of reviewers. Therefore, the Department has determined that for some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applications may be separated into two or more groups and ranked and selected for funding within specific groups. This procedure will make it easier for the Department to find peer reviewers by ensuring that greater numbers of individuals who are eligible to serve as reviewers for any particular group of applicants will not have conflicts of interest. It also will increase the quality, independence, and fairness of the review process, while permitting panel members to review applications under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which they also have submitted applications. However, if the Department decides to select an equal number of applications in each group for funding, this may result in different cut-off points for fundable applications in each group.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46"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47"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 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48"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49"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50"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51"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Under </w:t>
      </w:r>
      <w:hyperlink r:id="rId52"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of 1993 (GPRA), the Department has established a set of performance measures, including long-term measures, that are designed to yield information on various aspects of the Technical Assistance and Dissemination to Improve Services and Results for Children with Disabilities program. These measures focus on the extent to which projects provide high-quality products and services, the relevance of project products and services to educational and early intervention policy and practice, and the use of products and services to improve educational and early intervention policy and practice.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Grantees will be required to report information on their project's performance in annual performance reports and additional performance data to the Department (</w:t>
      </w:r>
      <w:hyperlink r:id="rId53" w:history="1">
        <w:r>
          <w:rPr>
            <w:rFonts w:ascii="arial" w:eastAsia="arial" w:hAnsi="arial" w:cs="arial"/>
            <w:b w:val="0"/>
            <w:i/>
            <w:strike w:val="0"/>
            <w:noProof w:val="0"/>
            <w:color w:val="0077CC"/>
            <w:position w:val="0"/>
            <w:sz w:val="20"/>
            <w:u w:val="single"/>
            <w:vertAlign w:val="baseline"/>
          </w:rPr>
          <w:t>34 CFR 75.590</w:t>
        </w:r>
      </w:hyperlink>
      <w:r>
        <w:rPr>
          <w:rFonts w:ascii="arial" w:eastAsia="arial" w:hAnsi="arial" w:cs="arial"/>
          <w:b w:val="0"/>
          <w:i w:val="0"/>
          <w:strike w:val="0"/>
          <w:noProof w:val="0"/>
          <w:color w:val="000000"/>
          <w:position w:val="0"/>
          <w:sz w:val="20"/>
          <w:u w:val="none"/>
          <w:vertAlign w:val="baseline"/>
        </w:rPr>
        <w:t xml:space="preserve"> and </w:t>
      </w:r>
      <w:hyperlink r:id="rId54" w:history="1">
        <w:r>
          <w:rPr>
            <w:rFonts w:ascii="arial" w:eastAsia="arial" w:hAnsi="arial" w:cs="arial"/>
            <w:b w:val="0"/>
            <w:i/>
            <w:strike w:val="0"/>
            <w:noProof w:val="0"/>
            <w:color w:val="0077CC"/>
            <w:position w:val="0"/>
            <w:sz w:val="20"/>
            <w:u w:val="single"/>
            <w:vertAlign w:val="baseline"/>
          </w:rPr>
          <w:t>75.591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20"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making a continuation award, the Secretary also considers whether the grantee is operating in compliance with the assurances in its approved application, including those applicable to Federal civil rights laws that prohibit discrimination in programs or activities </w:t>
      </w:r>
      <w:r>
        <w:rPr>
          <w:rFonts w:ascii="arial" w:eastAsia="arial" w:hAnsi="arial" w:cs="arial"/>
          <w:b/>
          <w:i w:val="0"/>
          <w:strike w:val="0"/>
          <w:noProof w:val="0"/>
          <w:color w:val="000000"/>
          <w:position w:val="0"/>
          <w:sz w:val="20"/>
          <w:u w:val="none"/>
          <w:vertAlign w:val="baseline"/>
        </w:rPr>
        <w:t> [*11549] </w:t>
      </w:r>
      <w:r>
        <w:rPr>
          <w:rFonts w:ascii="arial" w:eastAsia="arial" w:hAnsi="arial" w:cs="arial"/>
          <w:b w:val="0"/>
          <w:i w:val="0"/>
          <w:strike w:val="0"/>
          <w:noProof w:val="0"/>
          <w:color w:val="000000"/>
          <w:position w:val="0"/>
          <w:sz w:val="20"/>
          <w:u w:val="none"/>
          <w:vertAlign w:val="baseline"/>
        </w:rPr>
        <w:t xml:space="preserve"> receiving Federal financial assistance from the Department (</w:t>
      </w:r>
      <w:hyperlink r:id="rId41"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45"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Louise Tripoli, U.S. Department of Education, 400 Maryland Avenue SW., Room 5132, Potomac Center Plaza, Washington, DC 20202-5108. </w:t>
      </w:r>
      <w:r>
        <w:rPr>
          <w:rFonts w:ascii="arial" w:eastAsia="arial" w:hAnsi="arial" w:cs="arial"/>
          <w:b w:val="0"/>
          <w:i/>
          <w:strike w:val="0"/>
          <w:noProof w:val="0"/>
          <w:color w:val="000000"/>
          <w:position w:val="0"/>
          <w:sz w:val="20"/>
          <w:u w:val="none"/>
          <w:vertAlign w:val="baseline"/>
        </w:rPr>
        <w:t>Telephone:</w:t>
      </w:r>
      <w:r>
        <w:rPr>
          <w:rFonts w:ascii="arial" w:eastAsia="arial" w:hAnsi="arial" w:cs="arial"/>
          <w:b w:val="0"/>
          <w:i w:val="0"/>
          <w:strike w:val="0"/>
          <w:noProof w:val="0"/>
          <w:color w:val="000000"/>
          <w:position w:val="0"/>
          <w:sz w:val="20"/>
          <w:u w:val="none"/>
          <w:vertAlign w:val="baseline"/>
        </w:rPr>
        <w:t xml:space="preserve"> (202) 245-7554.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Federal Relay Service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Grants and Contracts Services Team, U.S. Department of Education, 400 Maryland Avenue SW., Room 5037, Potomac Center Plaza, Washington, DC 20202-2550. Telephone: (202) 245-7363. If you use a TDD or a TTY, call the FRS, toll free, at 1-800-877-8339.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55"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56"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val="0"/>
          <w:strike w:val="0"/>
          <w:noProof w:val="0"/>
          <w:color w:val="000000"/>
          <w:position w:val="0"/>
          <w:sz w:val="20"/>
          <w:u w:val="none"/>
          <w:vertAlign w:val="baseline"/>
        </w:rPr>
        <w:t>.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February 29,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Michael K. Yudin,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for Special Education and Rehabilitative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2016-04867 Filed 3-3-16;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March 4,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April 18,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June 17, 2016.</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9"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11539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P71-NRF4-41BM-00000-00&amp;context=" TargetMode="External" /><Relationship Id="rId11" Type="http://schemas.openxmlformats.org/officeDocument/2006/relationships/hyperlink" Target="https://advance.lexis.com/api/document?collection=statutes-legislation&amp;id=urn:contentItem:4YF7-GTC1-NRF4-41G0-00000-00&amp;context=" TargetMode="External" /><Relationship Id="rId12" Type="http://schemas.openxmlformats.org/officeDocument/2006/relationships/hyperlink" Target="https://advance.lexis.com/api/document?collection=statutes-legislation&amp;id=urn:contentItem:4YF7-GSJ1-NRF4-43PC-00000-00&amp;context=" TargetMode="External" /><Relationship Id="rId13" Type="http://schemas.openxmlformats.org/officeDocument/2006/relationships/hyperlink" Target="http://www.pepnet.org" TargetMode="External" /><Relationship Id="rId14" Type="http://schemas.openxmlformats.org/officeDocument/2006/relationships/hyperlink" Target="https://advance.lexis.com/api/document?collection=administrative-codes&amp;id=urn:contentItem:5RJ0-4300-008H-00V6-00000-00&amp;context=" TargetMode="External" /><Relationship Id="rId15" Type="http://schemas.openxmlformats.org/officeDocument/2006/relationships/hyperlink" Target="https://advance.lexis.com/api/document?collection=administrative-codes&amp;id=urn:contentItem:5R5H-J1H0-008H-0445-00000-00&amp;context=" TargetMode="External" /><Relationship Id="rId16" Type="http://schemas.openxmlformats.org/officeDocument/2006/relationships/hyperlink" Target="http://www.regulations.gov/#!docket" TargetMode="External" /><Relationship Id="rId17" Type="http://schemas.openxmlformats.org/officeDocument/2006/relationships/hyperlink" Target="http://www2.ed.gov/about/offices/list/osers/osep/rda/index.html" TargetMode="External" /><Relationship Id="rId18" Type="http://schemas.openxmlformats.org/officeDocument/2006/relationships/hyperlink" Target="http://www.researchutilization.org/matrix/logicmodel_resource3c.html" TargetMode="External" /><Relationship Id="rId19" Type="http://schemas.openxmlformats.org/officeDocument/2006/relationships/hyperlink" Target="http://www.osepideasthatwork.org/logicModel/index.asp"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GMB-DPB0-008H-02K8-00000-00&amp;context=" TargetMode="External" /><Relationship Id="rId21" Type="http://schemas.openxmlformats.org/officeDocument/2006/relationships/hyperlink" Target="http://cde.sagepub.com/content/early/2014/10/16/2165143414553025.full.pdf+html" TargetMode="External" /><Relationship Id="rId22" Type="http://schemas.openxmlformats.org/officeDocument/2006/relationships/hyperlink" Target="http://www.nasdse.org" TargetMode="External" /><Relationship Id="rId23" Type="http://schemas.openxmlformats.org/officeDocument/2006/relationships/hyperlink" Target="http://www.ndepnow.org/pdfs/national_agenda.pdf" TargetMode="External" /><Relationship Id="rId24" Type="http://schemas.openxmlformats.org/officeDocument/2006/relationships/hyperlink" Target="http://www.nlts2.org/reports/2009_04/nlts2_report_2009_04_complete.pdf" TargetMode="External" /><Relationship Id="rId25" Type="http://schemas.openxmlformats.org/officeDocument/2006/relationships/hyperlink" Target="http://nlts2.org/reports/2011_09_02/nlts2_report_2011_09_02_complete.pdf" TargetMode="External" /><Relationship Id="rId26" Type="http://schemas.openxmlformats.org/officeDocument/2006/relationships/hyperlink" Target="http://www2.ed.gov/about/offices/list/ocr/docs/hq9806.html" TargetMode="External" /><Relationship Id="rId27" Type="http://schemas.openxmlformats.org/officeDocument/2006/relationships/hyperlink" Target="http://www.gao.gov/assets/320/318707.pdf" TargetMode="External" /><Relationship Id="rId28" Type="http://schemas.openxmlformats.org/officeDocument/2006/relationships/hyperlink" Target="https://advance.lexis.com/api/document?collection=statutes-legislation&amp;id=urn:contentItem:4YF7-GKC1-NRF4-44K6-00000-00&amp;context=" TargetMode="External" /><Relationship Id="rId29" Type="http://schemas.openxmlformats.org/officeDocument/2006/relationships/hyperlink" Target="https://advance.lexis.com/api/document?collection=administrative-codes&amp;id=urn:contentItem:5GMB-DPC0-008H-02SJ-00000-00&amp;context=" TargetMode="External" /><Relationship Id="rId3" Type="http://schemas.openxmlformats.org/officeDocument/2006/relationships/fontTable" Target="fontTable.xml" /><Relationship Id="rId30" Type="http://schemas.openxmlformats.org/officeDocument/2006/relationships/hyperlink" Target="http://www.ed.gov/fund/grant/apply/grantapps/index.html" TargetMode="External" /><Relationship Id="rId31" Type="http://schemas.openxmlformats.org/officeDocument/2006/relationships/hyperlink" Target="http://www.EDPubs.gov" TargetMode="External" /><Relationship Id="rId32" Type="http://schemas.openxmlformats.org/officeDocument/2006/relationships/hyperlink" Target="mailto:edpubs@inet.ed.gov" TargetMode="External" /><Relationship Id="rId33" Type="http://schemas.openxmlformats.org/officeDocument/2006/relationships/hyperlink" Target="http://fedgov.dnb.com/webform" TargetMode="External" /><Relationship Id="rId34" Type="http://schemas.openxmlformats.org/officeDocument/2006/relationships/hyperlink" Target="http://www.SAM.gov" TargetMode="External" /><Relationship Id="rId35" Type="http://schemas.openxmlformats.org/officeDocument/2006/relationships/hyperlink" Target="http://www.grants.gov/web/grants/register.html" TargetMode="External" /><Relationship Id="rId36" Type="http://schemas.openxmlformats.org/officeDocument/2006/relationships/hyperlink" Target="http://www.Grants.gov" TargetMode="External" /><Relationship Id="rId37" Type="http://schemas.openxmlformats.org/officeDocument/2006/relationships/hyperlink" Target="http://www.G5.gov" TargetMode="External" /><Relationship Id="rId38" Type="http://schemas.openxmlformats.org/officeDocument/2006/relationships/hyperlink" Target="http://www.grants.gov/web/grants/applicants/apply-for-grants.html" TargetMode="External" /><Relationship Id="rId39" Type="http://schemas.openxmlformats.org/officeDocument/2006/relationships/hyperlink" Target="https://advance.lexis.com/api/document?collection=administrative-codes&amp;id=urn:contentItem:5S7T-7HS0-008H-02VY-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GMB-DPB0-008H-02GP-00000-00&amp;context=" TargetMode="External" /><Relationship Id="rId41" Type="http://schemas.openxmlformats.org/officeDocument/2006/relationships/hyperlink" Target="https://advance.lexis.com/api/document?collection=administrative-codes&amp;id=urn:contentItem:5KS0-F5W0-008H-023P-00000-00&amp;context=" TargetMode="External" /><Relationship Id="rId42" Type="http://schemas.openxmlformats.org/officeDocument/2006/relationships/hyperlink" Target="https://advance.lexis.com/api/document?collection=administrative-codes&amp;id=urn:contentItem:5R5H-J1H0-008H-043K-00000-00&amp;context=" TargetMode="External" /><Relationship Id="rId43" Type="http://schemas.openxmlformats.org/officeDocument/2006/relationships/hyperlink" Target="https://advance.lexis.com/api/document?collection=administrative-codes&amp;id=urn:contentItem:5KS0-F5W0-008H-024V-00000-00&amp;context=" TargetMode="External" /><Relationship Id="rId44" Type="http://schemas.openxmlformats.org/officeDocument/2006/relationships/hyperlink" Target="https://advance.lexis.com/api/document?collection=administrative-codes&amp;id=urn:contentItem:5KS0-F600-008H-02PT-00000-00&amp;context=" TargetMode="External" /><Relationship Id="rId45" Type="http://schemas.openxmlformats.org/officeDocument/2006/relationships/hyperlink" Target="https://advance.lexis.com/api/document?collection=administrative-codes&amp;id=urn:contentItem:5KS0-F5W0-008H-025B-00000-00&amp;context=" TargetMode="External" /><Relationship Id="rId46" Type="http://schemas.openxmlformats.org/officeDocument/2006/relationships/hyperlink" Target="https://advance.lexis.com/api/document?collection=administrative-codes&amp;id=urn:contentItem:5HDM-DHF0-008G-Y2NJ-00000-00&amp;context=" TargetMode="External" /><Relationship Id="rId47" Type="http://schemas.openxmlformats.org/officeDocument/2006/relationships/hyperlink" Target="https://advance.lexis.com/api/document?collection=administrative-codes&amp;id=urn:contentItem:5F34-Y1R0-008G-Y1F9-00000-00&amp;context=" TargetMode="External" /><Relationship Id="rId48" Type="http://schemas.openxmlformats.org/officeDocument/2006/relationships/hyperlink" Target="https://advance.lexis.com/api/document?collection=administrative-codes&amp;id=urn:contentItem:5F2R-48P0-008G-Y31V-00000-00&amp;context=" TargetMode="External" /><Relationship Id="rId49" Type="http://schemas.openxmlformats.org/officeDocument/2006/relationships/hyperlink" Target="https://advance.lexis.com/api/document?collection=administrative-codes&amp;id=urn:contentItem:5GMB-DPC0-008H-02S7-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GMB-DPC0-008H-02SK-00000-00&amp;context=" TargetMode="External" /><Relationship Id="rId51" Type="http://schemas.openxmlformats.org/officeDocument/2006/relationships/hyperlink" Target="http://www.ed.gov/fund/grant/apply/appforms/appforms.html" TargetMode="External" /><Relationship Id="rId52" Type="http://schemas.openxmlformats.org/officeDocument/2006/relationships/hyperlink" Target="https://advance.lexis.com/api/document?collection=administrative-codes&amp;id=urn:contentItem:5GMB-DPB0-008H-0272-00000-00&amp;context=" TargetMode="External" /><Relationship Id="rId53" Type="http://schemas.openxmlformats.org/officeDocument/2006/relationships/hyperlink" Target="https://advance.lexis.com/api/document?collection=administrative-codes&amp;id=urn:contentItem:5GMB-DPB0-008H-027J-00000-00&amp;context=" TargetMode="External" /><Relationship Id="rId54" Type="http://schemas.openxmlformats.org/officeDocument/2006/relationships/hyperlink" Target="https://advance.lexis.com/api/document?collection=administrative-codes&amp;id=urn:contentItem:5GMB-DPB0-008H-027K-00000-00&amp;context=" TargetMode="External" /><Relationship Id="rId55" Type="http://schemas.openxmlformats.org/officeDocument/2006/relationships/hyperlink" Target="http://www.gpo.gov/fdsys" TargetMode="External" /><Relationship Id="rId56" Type="http://schemas.openxmlformats.org/officeDocument/2006/relationships/hyperlink" Target="http://www.federalregister.gov" TargetMode="External" /><Relationship Id="rId57" Type="http://schemas.openxmlformats.org/officeDocument/2006/relationships/numbering" Target="numbering.xml" /><Relationship Id="rId58"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75-Y9V0-006W-83SH-00000-00&amp;context=" TargetMode="External" /><Relationship Id="rId8" Type="http://schemas.openxmlformats.org/officeDocument/2006/relationships/hyperlink" Target="https://advance.lexis.com/api/document?collection=administrative-codes&amp;id=urn:contentItem:5GMB-DPB0-008H-02BK-00000-00&amp;context=" TargetMode="External" /><Relationship Id="rId9" Type="http://schemas.openxmlformats.org/officeDocument/2006/relationships/hyperlink" Target="https://advance.lexis.com/api/document?collection=statutes-legislation&amp;id=urn:contentItem:4YF7-GPG1-NRF4-44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11539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71569920</vt:lpwstr>
  </property>
  <property fmtid="{D5CDD505-2E9C-101B-9397-08002B2CF9AE}" pid="3" name="LADocCount">
    <vt:lpwstr>1</vt:lpwstr>
  </property>
  <property fmtid="{D5CDD505-2E9C-101B-9397-08002B2CF9AE}" pid="4" name="UserPermID">
    <vt:lpwstr>urn:user:PA185916758</vt:lpwstr>
  </property>
</Properties>
</file>