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11770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044, Monday, March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11770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Disabilities--Model Demonstration Projects To Improve Literacy Outcomes for English Learners With Disabilities in Grades Three Through Five or Three Through Six</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Technical Assistance and Dissemination to Improve Services and Results for Children with Disabilities--Model Demonstration Projects to Improve Literacy Outcomes for English Learners with Disabilities in Grades Three through Five or Three through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a new award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84.326M.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Technical Assistance and Dissemination to Improve Services and Results for Children with Disabilities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one absolute priority.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xml:space="preserve">, the absolute priority is from allowable activities specified in the statute or otherwise authorized in the statute (see sections 663 and 681(d) of the Individuals with Disabilities Education Act (IDEA),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1481(d)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Model Demonstration Projects to Improve Literacy Outcomes for English Learners with Disabilities in Grades Three through Five or Three through Six.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IDEA has authorized model demonstrations to improve early intervention, educational, or transitional results for children n1 with disabilities since the mid-1970s. For the purposes of this priority, a model is a set of existing evidence-based interventions and implementation strategies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core components) that research suggests will improve child, teacher, or system outcomes when implemented with fidelity. Model demonstrations involve investigating the degree to which a given model can be implemented and sustained in typical settings, by staff employed in those settings, while achieving outcomes similar to those attained under research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the purpose of this priority, the term "children" includes infants, toddlers, children, and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three cooperative agreements to establish and operate model demonstration projects that will assess how models can: (a) Improve literacy outcomes for English Learners n2 with disabilities (ELSWDs) in grades three through five or three through six, within a multi-tier system of supports (MTSS) framework; n3 (b) use culturally responsive principles; n4 and (c) be implemented by educators and sustained in general and special education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priority, the term English Learners refers to those students considered to be Limited English Proficient (LEP) students or English Learners, as those terms are defined under the Elementary and Secondary Education Act, as amended (ESEA), and in the State in which the grantee implements its model demonstration projects under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Multi-tier System of Supports means a comprehensive continuum of evidence-based, systemic practices to support a rapid response to students' needs, with regular observation to facilitate data-based instructional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Culturally responsive principles promote redesigning the learning environments to support the development and success of all students. Some examples of incorporating culturally responsive principles into learning environments include communicating high expectations to all students, incorporating students' cultural and home experiences into lessons by reshaping the curriculum to reflect students' experiences, and engaging students in activities where they can converse with one another on topics that tap into their background knowledge and experiences (Aceves &amp; Orosco, 2014; Gay,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average scale scores n5 in reading for fourth graders on the </w:t>
      </w:r>
      <w:r>
        <w:rPr>
          <w:rFonts w:ascii="arial" w:eastAsia="arial" w:hAnsi="arial" w:cs="arial"/>
          <w:b/>
          <w:i w:val="0"/>
          <w:strike w:val="0"/>
          <w:noProof w:val="0"/>
          <w:color w:val="000000"/>
          <w:position w:val="0"/>
          <w:sz w:val="20"/>
          <w:u w:val="none"/>
          <w:vertAlign w:val="baseline"/>
        </w:rPr>
        <w:t> [*11771] </w:t>
      </w:r>
      <w:r>
        <w:rPr>
          <w:rFonts w:ascii="arial" w:eastAsia="arial" w:hAnsi="arial" w:cs="arial"/>
          <w:b w:val="0"/>
          <w:i w:val="0"/>
          <w:strike w:val="0"/>
          <w:noProof w:val="0"/>
          <w:color w:val="000000"/>
          <w:position w:val="0"/>
          <w:sz w:val="20"/>
          <w:u w:val="none"/>
          <w:vertAlign w:val="baseline"/>
        </w:rPr>
        <w:t xml:space="preserve"> National Assessment of Educational Progress (NAEP, 2014) by subgroup were: English Learners (ELs), 192; students with disabilities (SWDs), 188; ELSWDs, 151; and students who were not ELs or SWDs, 230. Seven percent of ELs, 10 percent of SWDs, and 2 percent of ELSWDs scored at the proficient level compared to 31 percent of students who were not ELs or SWDs (U.S. Department of Education, 2014). These figures are especially troubling because, according to assessments using criteria that correspond to the NAEP skill levels, children who are not proficient readers by the end of third grade are four times more likely to drop out of school than their peers who are proficient readers (Hernandez, 2012). The disparities in achievement as illustrated by these data underscore the challenges that schools encounter in educating ELSWDs.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NAEP Reading scale ranges from 0 to 500. Source: U.S. Department of Education, Institute of Education Sciences, National Center for Education Statistics, National Assessment of Educational Progress, 2013 Reading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must possess the ability to read for understanding in order to meet college- and career-ready standards (Foorman &amp; Wanzek, 2015). However, children must first develop basic literacy skills, including phonemic awareness, phonics, fluency, vocabulary, and comprehension, to become proficient readers (National Reading Panel, 2000) and to read for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models should be designed to build literacy skills for ELSWDs as a stepping stone to reading for understanding. Approaches to improve literacy must include a combination of effective instruction, modeling, professional development, and evidence-based teaching practices that are appropriate for ELSWDs in both classrooms and small group settings (Giroir, Grimaldo, Vaughn, &amp; Roberts, 2015; Klingner &amp; Soltero-Gonzalez, 2009). In addition, research suggests that proposed models should be replicable across multiple contexts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content area instruction, small group settings, multiple school sites) with a goal of scaling-up for wider use (Domitrovich et al.,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The purpose of this priority is to fund three cooperative agreements to establish and operate model demonstration projects that will assess how models can: (a) Improve literacy outcomes for ELSWDs in grades three through five or three through six, within an MTSS framework; (b) use culturally responsive principles; and (c) be implemented by educators and sustained in general and special education settings. Applicants must propose models that meet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model's core intervention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services, assessments, processes, data collection instruments)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framework that includes, at a minimum, universal screening, progress monitoring, and effective core instruction;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School sites that are selected must have an existing MTSS framework that demonstrates strong core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Culturally responsive principles within each component of the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Interventions that meet the needs of the specific population and are supported by scientifically based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Practices that are valid and reliable and ensure appropriate identification of ELs as having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Measures of literacy outcomes, n7 using standardized measures when applicable, and teacher and systems outcomes, when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Applicants must ensure the confidentiality of individual data, consistent with the requirements of section 444 of the General Education Provisions Act (</w:t>
      </w:r>
      <w:hyperlink r:id="rId11"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commonly known as the "Family Educational Rights and Privacy Act" (FERPA), and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confidentiality of individual records. Final FERPA regulatory changes became effective January 3, 2012, and include requirements for data sharing. Applicants are encouraged to review the final FERPA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December 2, 2011 </w:t>
      </w:r>
      <w:hyperlink r:id="rId12" w:history="1">
        <w:r>
          <w:rPr>
            <w:rFonts w:ascii="arial" w:eastAsia="arial" w:hAnsi="arial" w:cs="arial"/>
            <w:b w:val="0"/>
            <w:i/>
            <w:strike w:val="0"/>
            <w:noProof w:val="0"/>
            <w:color w:val="0077CC"/>
            <w:position w:val="0"/>
            <w:sz w:val="20"/>
            <w:u w:val="single"/>
            <w:vertAlign w:val="baseline"/>
          </w:rPr>
          <w:t>(76 FR 75604).</w:t>
        </w:r>
      </w:hyperlink>
      <w:r>
        <w:rPr>
          <w:rFonts w:ascii="arial" w:eastAsia="arial" w:hAnsi="arial" w:cs="arial"/>
          <w:b w:val="0"/>
          <w:i w:val="0"/>
          <w:strike w:val="0"/>
          <w:noProof w:val="0"/>
          <w:color w:val="000000"/>
          <w:position w:val="0"/>
          <w:sz w:val="20"/>
          <w:u w:val="none"/>
          <w:vertAlign w:val="baseline"/>
        </w:rPr>
        <w:t xml:space="preserve"> Questions can be sent to the Family Policy Compliance Office (</w:t>
      </w:r>
      <w:hyperlink r:id="rId13" w:history="1">
        <w:r>
          <w:rPr>
            <w:rFonts w:ascii="arial" w:eastAsia="arial" w:hAnsi="arial" w:cs="arial"/>
            <w:b w:val="0"/>
            <w:i/>
            <w:strike w:val="0"/>
            <w:noProof w:val="0"/>
            <w:color w:val="0077CC"/>
            <w:position w:val="0"/>
            <w:sz w:val="20"/>
            <w:u w:val="single"/>
            <w:vertAlign w:val="baseline"/>
          </w:rPr>
          <w:t>www.ed.gov/fpco</w:t>
        </w:r>
      </w:hyperlink>
      <w:r>
        <w:rPr>
          <w:rFonts w:ascii="arial" w:eastAsia="arial" w:hAnsi="arial" w:cs="arial"/>
          <w:b w:val="0"/>
          <w:i w:val="0"/>
          <w:strike w:val="0"/>
          <w:noProof w:val="0"/>
          <w:color w:val="000000"/>
          <w:position w:val="0"/>
          <w:sz w:val="20"/>
          <w:u w:val="none"/>
          <w:vertAlign w:val="baseline"/>
        </w:rPr>
        <w:t xml:space="preserve">) at (202) 260-3887 or </w:t>
      </w:r>
      <w:hyperlink r:id="rId14" w:history="1">
        <w:r>
          <w:rPr>
            <w:rFonts w:ascii="arial" w:eastAsia="arial" w:hAnsi="arial" w:cs="arial"/>
            <w:b w:val="0"/>
            <w:i/>
            <w:strike w:val="0"/>
            <w:noProof w:val="0"/>
            <w:color w:val="0077CC"/>
            <w:position w:val="0"/>
            <w:sz w:val="20"/>
            <w:u w:val="single"/>
            <w:vertAlign w:val="baseline"/>
          </w:rPr>
          <w:t>FERPA@ed.gov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Measures of language proficiency in the child's first language and English;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Measures of the model's social validity,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measures of educators', parents', and students' satisfaction with the model components, processes, and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model's core implementation components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Strategies for selecting n8 and recruiting sites, including approaches to introducing the model to and promoting the model among site participants, n9 with consideration given to the following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For factors to consider when selecting model demonstration sites, the applicant should refer to </w:t>
      </w:r>
      <w:r>
        <w:rPr>
          <w:rFonts w:ascii="arial" w:eastAsia="arial" w:hAnsi="arial" w:cs="arial"/>
          <w:b w:val="0"/>
          <w:i/>
          <w:strike w:val="0"/>
          <w:noProof w:val="0"/>
          <w:color w:val="000000"/>
          <w:position w:val="0"/>
          <w:sz w:val="20"/>
          <w:u w:val="none"/>
          <w:vertAlign w:val="baseline"/>
        </w:rPr>
        <w:t>Assessing Sites for Model Demonstration: Lessons Learned for OSEP Grantees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http://mdcc.sri.com/documents/reports/MDCC_Site_Assessment_Brief_09-30-11.pdf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document also contains a site assessment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For factors to consider while preparing for model demonstration implementation, the applicant should refer to </w:t>
      </w:r>
      <w:r>
        <w:rPr>
          <w:rFonts w:ascii="arial" w:eastAsia="arial" w:hAnsi="arial" w:cs="arial"/>
          <w:b w:val="0"/>
          <w:i/>
          <w:strike w:val="0"/>
          <w:noProof w:val="0"/>
          <w:color w:val="000000"/>
          <w:position w:val="0"/>
          <w:sz w:val="20"/>
          <w:u w:val="none"/>
          <w:vertAlign w:val="baseline"/>
        </w:rPr>
        <w:t>Preparing for Model Demonstration Implementation</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http://mdcc.sri.com/documents/MDCC_PreparationStage_Brief_Apr2013.pdf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Each project must include at least three elementary schools with students in grades three through five or three through six. Each school must have at least 40 percent and no fewer than 100 students who have been identified as ELs in these grades;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 each of the schools, at least 10 percent of the identified ELs in grades three through five or three through six must be ELSWDs with literacy goals on their Individualized Education Programs (IEPs);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lag site implementation, which involves selecting one of the three sites in year one of the project period to begin implementation of the project's model for at least three years, with the other two schools beginning implementation in year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professional development component that includes an evidence-based coaching strategy to enable staff to implement the interventions with fidelity;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Measures of the performance of the professional development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improvements in teacher instructional delivery and knowledge) required by paragraph (b)(3) of this section, including measures of the fidelity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core strategies for sustaining the model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Documentation that permits current and future practitioners to replicate and tailor the model at any site; n10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For a guide on documenting model demonstration sustainment and replication, the applicant should refer to </w:t>
      </w:r>
      <w:r>
        <w:rPr>
          <w:rFonts w:ascii="arial" w:eastAsia="arial" w:hAnsi="arial" w:cs="arial"/>
          <w:b w:val="0"/>
          <w:i/>
          <w:strike w:val="0"/>
          <w:noProof w:val="0"/>
          <w:color w:val="000000"/>
          <w:position w:val="0"/>
          <w:sz w:val="20"/>
          <w:u w:val="none"/>
          <w:vertAlign w:val="baseline"/>
        </w:rPr>
        <w:t>Planning for Replication and Dissemination From the Start: Guidelines for Model Demonstration Projects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http://mdcc.sri.com/documents/MDCC_ReplicationBrief_SEP2013.pdf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Strategies for the grantee to sustain the model, such as developing easily accessible training materials or coordinating with TA providers who might serve as future trainers.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this absolute priority, applicants must meet the application requirements contained in this priority. Each project funded under this absolute priority also must meet the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An applicant must include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project design that is at least supported by strong theory (as defined in this notice) that supports the promise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evidence base) of the proposed model, its components, and processes to improve literacy outcomes for ELSWDs;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 logic model that depicts, at a minimum, the goals, activities, outputs, and outcomes of the proposed model demonstration project. A logic model used in connection with this priority </w:t>
      </w:r>
      <w:r>
        <w:rPr>
          <w:rFonts w:ascii="arial" w:eastAsia="arial" w:hAnsi="arial" w:cs="arial"/>
          <w:b/>
          <w:i w:val="0"/>
          <w:strike w:val="0"/>
          <w:noProof w:val="0"/>
          <w:color w:val="000000"/>
          <w:position w:val="0"/>
          <w:sz w:val="20"/>
          <w:u w:val="none"/>
          <w:vertAlign w:val="baseline"/>
        </w:rPr>
        <w:t> [*11772] </w:t>
      </w:r>
      <w:r>
        <w:rPr>
          <w:rFonts w:ascii="arial" w:eastAsia="arial" w:hAnsi="arial" w:cs="arial"/>
          <w:b w:val="0"/>
          <w:i w:val="0"/>
          <w:strike w:val="0"/>
          <w:noProof w:val="0"/>
          <w:color w:val="000000"/>
          <w:position w:val="0"/>
          <w:sz w:val="20"/>
          <w:u w:val="none"/>
          <w:vertAlign w:val="baseline"/>
        </w:rPr>
        <w:t xml:space="preserve"> communicates how a project will achieve its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sites provide examples for constructing logic models: </w:t>
      </w:r>
      <w:hyperlink r:id="rId18"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www.osepideasthatwork.org/logicModel/index.asp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activities and measures to be incorporated into the proposed model demonstration project to improve literacy outcomes for ELSWDs, including a timeline of how and when the components are introduced within the model. A detailed and complete description must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All the intervention components, including culturally responsive principles and, at a minimum, those components listed under paragraph (a) under the heading </w:t>
      </w: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and the supporting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existing and proposed child, teacher, and system outcome measures and social validity measures. The measures should be described as completely as possible, referenced as appropriate, and included, when available, in an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All the implementation components, including, at a minimum, those listed under paragraph (b) under the heading </w:t>
      </w: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and the supporting literature. The existing or proposed implementation fidelity measures, including those measuring the fidelity of the professional development strategy, should be described as completely as possible, referenced as appropriate, and included, when available, in an appendix. In addition, this description should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Demographics, including, at a minimum, ethnicity, gender, grade level, and age for all ELSWDs at all implementation sites that have been identified and successfully recruited for the purposes of this application using the selection and recruitment strategies described in paragraph (b)(1) under the heading </w:t>
      </w: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Whether the implementation sites are high-poverty, high-need, rural, urban, or suburban LEAs or schools; 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identify, to the extent possible, the sites willing to participate in the applicant's model demonstration. Final site selection will be determined in consultation with the OSEP project officer following the kick-off meeting described in paragraph (f)(1) of these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lag design for implementation consistent with the requirements in paragraph (b)(2) under the heading </w:t>
      </w: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All the strategies to promote sustaining and replicating the model, including, at a minimum, those listed in paragraph (c) under the heading </w:t>
      </w: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the evaluation activities and measures to be incorporated into the proposed model demonstration project. A detailed and complete description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formative evaluation plan, consistent with the project's logic model, that includes evaluation questions, source(s) for data, a timeline for data collection, and analysis plans. The plan must show how the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 measures, social validity) and implementation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fidelity) will be used separately or in combination to improve the project during the performance period. The plan also must outline how these data will be reviewed by project staff, when they will be reviewed, and how they will be used during the course of the project to adjust the model or its implementation to increase the model's usefulness, generalizability, and potential for sustainability;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summative evaluation plan, including a timeline, to collect and analyze data on positive changes to child, teacher, and systems outcome measures over time or relative to comparison groups that can be reasonably attributable to project activities. The plan must show how the child or system outcome and implementation data collected by the project will be used separately or in combination to demonstrate the promise of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budget for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one and one half-day kick-off meeting to be held in Washington, DC, after receipt of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three-day Project Directors' Conference in Washington, DC, occurring twice during the project performance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Four travel days spread across years two through four of the project period to attend planning meetings, Department briefings, Department-sponsored conferences, and other meetings, as requested by OSEP, to be held in Washington, DC, with the OSEP project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Project Activities</w:t>
      </w:r>
      <w:r>
        <w:rPr>
          <w:rFonts w:ascii="arial" w:eastAsia="arial" w:hAnsi="arial" w:cs="arial"/>
          <w:b w:val="0"/>
          <w:i w:val="0"/>
          <w:strike w:val="0"/>
          <w:noProof w:val="0"/>
          <w:color w:val="000000"/>
          <w:position w:val="0"/>
          <w:sz w:val="20"/>
          <w:u w:val="none"/>
          <w:vertAlign w:val="baseline"/>
        </w:rPr>
        <w:t>. To meet the requirements of this priority, each project, at a minimum,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Communicate and collaborate on an ongoing basis with other relevant Department-funded projects, including, at minimum, OSEP-funded TA centers that might disseminate information on the model or support the scale-up efforts of an effective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Maintain ongoing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monthly) telephone and email communication with the OSEP project officer and the other model demonstration projects funded under this priority;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the project maintains a Web site, include relevant information about the model, the intervention, and the demonstration activities that meets government- or industry-recognized standards for accessibility.</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Within this absolute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applications that address the following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an additional two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 Supporting the Proposed Model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supported by evidence that meets the conditions set out in the definition of "evidence of promise" (as defined in this notice). The proposed project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detailed review of the research that meets at least the evidence of promise standard and that supports the promise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evidence base) of the proposed model, its components, and processes to improve literacy outcomes for ELSWDs;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logic model that depicts, at a minimum, the goals, activities, outputs, and outcomes of the proposed model demonstration project. A logic model communicates how a project will achieve its outcomes and provides a framework for both the formative and summative evaluations of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activities and measures to be incorporated into the proposed model demonstration project to improve literacy outcomes for ELSWDs, including how and when the components are introduced within the model. A detailed and complete description must contain all of the implementation components, including, at a minimum, those listed under paragraph (a) and linked to supporting literature. The existing or proposed implementation fidelity measures, including those measuring the fidelity of the professional development strategy, should be described as completely as possible, referenced as appropriate, and included, when available, in an appendix.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addressing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must identify up to two study citations that meet this standard. </w:t>
      </w:r>
      <w:r>
        <w:rPr>
          <w:rFonts w:ascii="arial" w:eastAsia="arial" w:hAnsi="arial" w:cs="arial"/>
          <w:b/>
          <w:i w:val="0"/>
          <w:strike w:val="0"/>
          <w:noProof w:val="0"/>
          <w:color w:val="000000"/>
          <w:position w:val="0"/>
          <w:sz w:val="20"/>
          <w:u w:val="none"/>
          <w:vertAlign w:val="baseline"/>
        </w:rPr>
        <w:t> [*11773]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Aceves, T.C., &amp; Orosco, M.J. (2014). Culturally responsive teaching (Document No. IC-2). Retrieved from University of Florida, Collaboration for Effective Educator, Development, Accountability, and Reform Center Web site: </w:t>
      </w:r>
      <w:hyperlink r:id="rId20" w:history="1">
        <w:r>
          <w:rPr>
            <w:rFonts w:ascii="arial" w:eastAsia="arial" w:hAnsi="arial" w:cs="arial"/>
            <w:b w:val="0"/>
            <w:i/>
            <w:strike w:val="0"/>
            <w:noProof w:val="0"/>
            <w:color w:val="0077CC"/>
            <w:position w:val="0"/>
            <w:sz w:val="20"/>
            <w:u w:val="single"/>
            <w:vertAlign w:val="baseline"/>
          </w:rPr>
          <w:t>http://ceedar.education.ufl.edu/tools/innovation-configurations/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Domitrovich, C., Bradshaw, C., Poduska, J., Hoagwood, K., Buckley, J., Olin, S., . . . Ialongo, N. (2008). Maximizing the implementation quality of evidence-based preventive interventions in schools: A conceptual framework. </w:t>
      </w:r>
      <w:r>
        <w:rPr>
          <w:rFonts w:ascii="arial" w:eastAsia="arial" w:hAnsi="arial" w:cs="arial"/>
          <w:b w:val="0"/>
          <w:i/>
          <w:strike w:val="0"/>
          <w:noProof w:val="0"/>
          <w:color w:val="000000"/>
          <w:position w:val="0"/>
          <w:sz w:val="20"/>
          <w:u w:val="none"/>
          <w:vertAlign w:val="baseline"/>
        </w:rPr>
        <w:t>Advances in School Mental Health Promotion, 1</w:t>
      </w:r>
      <w:r>
        <w:rPr>
          <w:rFonts w:ascii="arial" w:eastAsia="arial" w:hAnsi="arial" w:cs="arial"/>
          <w:b w:val="0"/>
          <w:i w:val="0"/>
          <w:strike w:val="0"/>
          <w:noProof w:val="0"/>
          <w:color w:val="000000"/>
          <w:position w:val="0"/>
          <w:sz w:val="20"/>
          <w:u w:val="none"/>
          <w:vertAlign w:val="baseline"/>
        </w:rPr>
        <w:t xml:space="preserve"> (3), 6-28. Retrieved from: </w:t>
      </w:r>
      <w:hyperlink r:id="rId21" w:history="1">
        <w:r>
          <w:rPr>
            <w:rFonts w:ascii="arial" w:eastAsia="arial" w:hAnsi="arial" w:cs="arial"/>
            <w:b w:val="0"/>
            <w:i/>
            <w:strike w:val="0"/>
            <w:noProof w:val="0"/>
            <w:color w:val="0077CC"/>
            <w:position w:val="0"/>
            <w:sz w:val="20"/>
            <w:u w:val="single"/>
            <w:vertAlign w:val="baseline"/>
          </w:rPr>
          <w:t>http://dx.doi.org/10.1080/1754730X.2008.9715730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Foorman, B.R., &amp; Wanzek, J. (2015). Classroom Reading Instruction for all Students. In S.R. Jimerson, K. Burns, &amp; A.M. VanDerHeyden (EDs.), </w:t>
      </w:r>
      <w:r>
        <w:rPr>
          <w:rFonts w:ascii="arial" w:eastAsia="arial" w:hAnsi="arial" w:cs="arial"/>
          <w:b w:val="0"/>
          <w:i/>
          <w:strike w:val="0"/>
          <w:noProof w:val="0"/>
          <w:color w:val="000000"/>
          <w:position w:val="0"/>
          <w:sz w:val="20"/>
          <w:u w:val="none"/>
          <w:vertAlign w:val="baseline"/>
        </w:rPr>
        <w:t>Handbook of Response to Intervention</w:t>
      </w:r>
      <w:r>
        <w:rPr>
          <w:rFonts w:ascii="arial" w:eastAsia="arial" w:hAnsi="arial" w:cs="arial"/>
          <w:b w:val="0"/>
          <w:i w:val="0"/>
          <w:strike w:val="0"/>
          <w:noProof w:val="0"/>
          <w:color w:val="000000"/>
          <w:position w:val="0"/>
          <w:sz w:val="20"/>
          <w:u w:val="none"/>
          <w:vertAlign w:val="baseline"/>
        </w:rPr>
        <w:t xml:space="preserve"> (pp. 235-252). New York, NY: Springer.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 G. (2010). Culturally responsive teaching: Theory, research, and practice. New York, NY: Teacher's College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Giroir, S., Grimaldo, L.R., Vaughn, S., Roberts, G. (2015). Interactive read-alouds for English learners in the elementary grades. </w:t>
      </w:r>
      <w:r>
        <w:rPr>
          <w:rFonts w:ascii="arial" w:eastAsia="arial" w:hAnsi="arial" w:cs="arial"/>
          <w:b w:val="0"/>
          <w:i/>
          <w:strike w:val="0"/>
          <w:noProof w:val="0"/>
          <w:color w:val="000000"/>
          <w:position w:val="0"/>
          <w:sz w:val="20"/>
          <w:u w:val="none"/>
          <w:vertAlign w:val="baseline"/>
        </w:rPr>
        <w:t>Reading Teacher, 68</w:t>
      </w:r>
      <w:r>
        <w:rPr>
          <w:rFonts w:ascii="arial" w:eastAsia="arial" w:hAnsi="arial" w:cs="arial"/>
          <w:b w:val="0"/>
          <w:i w:val="0"/>
          <w:strike w:val="0"/>
          <w:noProof w:val="0"/>
          <w:color w:val="000000"/>
          <w:position w:val="0"/>
          <w:sz w:val="20"/>
          <w:u w:val="none"/>
          <w:vertAlign w:val="baseline"/>
        </w:rPr>
        <w:t xml:space="preserve"> (8), 639-648.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Hernandez, D. (2012). Double Jeopardy. How Third Grade Reading Skills and Poverty Influence High School Graduation. Retrieved from Annie E. Casey Foundation Web site: </w:t>
      </w:r>
      <w:hyperlink r:id="rId22" w:history="1">
        <w:r>
          <w:rPr>
            <w:rFonts w:ascii="arial" w:eastAsia="arial" w:hAnsi="arial" w:cs="arial"/>
            <w:b w:val="0"/>
            <w:i/>
            <w:strike w:val="0"/>
            <w:noProof w:val="0"/>
            <w:color w:val="0077CC"/>
            <w:position w:val="0"/>
            <w:sz w:val="20"/>
            <w:u w:val="single"/>
            <w:vertAlign w:val="baseline"/>
          </w:rPr>
          <w:t>http://gradelevelreading.net/wp-content/uploads/2012/01/Double-Jeopardy-Report-030812-for-web1.pdf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Klingner, J., &amp; Soltero-Gonzalez, L. (2009). Culturally and linguistically responsive literacy instruction for English Language Learners with learning disabilities. </w:t>
      </w:r>
      <w:r>
        <w:rPr>
          <w:rFonts w:ascii="arial" w:eastAsia="arial" w:hAnsi="arial" w:cs="arial"/>
          <w:b w:val="0"/>
          <w:i/>
          <w:strike w:val="0"/>
          <w:noProof w:val="0"/>
          <w:color w:val="000000"/>
          <w:position w:val="0"/>
          <w:sz w:val="20"/>
          <w:u w:val="none"/>
          <w:vertAlign w:val="baseline"/>
        </w:rPr>
        <w:t>Multiple Voices for Ethnically Diverse Exceptional Learners, 12</w:t>
      </w:r>
      <w:r>
        <w:rPr>
          <w:rFonts w:ascii="arial" w:eastAsia="arial" w:hAnsi="arial" w:cs="arial"/>
          <w:b w:val="0"/>
          <w:i w:val="0"/>
          <w:strike w:val="0"/>
          <w:noProof w:val="0"/>
          <w:color w:val="000000"/>
          <w:position w:val="0"/>
          <w:sz w:val="20"/>
          <w:u w:val="none"/>
          <w:vertAlign w:val="baseline"/>
        </w:rPr>
        <w:t xml:space="preserve"> (1), 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Institute of Child Health and Human Development. (2000). Report of the National Reading Panel. Teaching children to read: An evidence-based assessment of the scientific research literature on reading and its implications for reading instruction (NIH Publication No. 00-4769). Washington, DC: U.S. Government Printing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Institute of Education Sciences. (2014). National Center for Education Statistics, National Assessment of Educational Progress (NAEP), The Nation's Report Card. Washington, DC: Author. Retrieved from </w:t>
      </w:r>
      <w:hyperlink r:id="rId23" w:history="1">
        <w:r>
          <w:rPr>
            <w:rFonts w:ascii="arial" w:eastAsia="arial" w:hAnsi="arial" w:cs="arial"/>
            <w:b w:val="0"/>
            <w:i/>
            <w:strike w:val="0"/>
            <w:noProof w:val="0"/>
            <w:color w:val="0077CC"/>
            <w:position w:val="0"/>
            <w:sz w:val="20"/>
            <w:u w:val="single"/>
            <w:vertAlign w:val="baseline"/>
          </w:rPr>
          <w:t>http://nationsreportcard.gov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apply to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when used with respect to an individual,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is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ability to meet the State's proficient level of achievement on State assessments described in section 1111(b)(3)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opportunity to participate fully in society.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24"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other requirements. Section 681(d) of IDEA, however, makes the public comment requirements of the APA inapplicable to the absolute priority and related definitions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 [*11774] </w:t>
      </w:r>
      <w:r>
        <w:rPr>
          <w:rFonts w:ascii="arial" w:eastAsia="arial" w:hAnsi="arial" w:cs="arial"/>
          <w:b w:val="0"/>
          <w:i w:val="0"/>
          <w:strike w:val="0"/>
          <w:noProof w:val="0"/>
          <w:color w:val="000000"/>
          <w:position w:val="0"/>
          <w:sz w:val="20"/>
          <w:u w:val="none"/>
          <w:vertAlign w:val="baseline"/>
        </w:rPr>
        <w:t xml:space="preserve">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$ 375,000 to $ 400,000.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w:t>
      </w:r>
      <w:r>
        <w:rPr>
          <w:rFonts w:ascii="arial" w:eastAsia="arial" w:hAnsi="arial" w:cs="arial"/>
          <w:b w:val="0"/>
          <w:i w:val="0"/>
          <w:strike w:val="0"/>
          <w:noProof w:val="0"/>
          <w:color w:val="000000"/>
          <w:position w:val="0"/>
          <w:sz w:val="20"/>
          <w:u w:val="none"/>
          <w:vertAlign w:val="baseline"/>
        </w:rPr>
        <w:t xml:space="preserve"> $ 400,000.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and not review any application that proposes a budget exceeding $ 400,000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educational agencies (SEAs); LEAs, including public charter schools that are considered LEAs under State law; IHEs; other public agencies; private nonprofit organizations; outlying areas; freely associated States;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75.708(b) and (c) a grantee may award subgrants--to directly carry out project activities described in its application--to the following types of entities: SEAs; LEAs, including public charter schools that are considered LEAs under State law; IHEs; other public agencies; private nonprofit organizations; outlying areas; freely associated States;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5"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w:t>
      </w:r>
      <w:r>
        <w:rPr>
          <w:rFonts w:ascii="arial" w:eastAsia="arial" w:hAnsi="arial" w:cs="arial"/>
          <w:b/>
          <w:i w:val="0"/>
          <w:strike w:val="0"/>
          <w:noProof w:val="0"/>
          <w:color w:val="000000"/>
          <w:position w:val="0"/>
          <w:sz w:val="20"/>
          <w:u w:val="none"/>
          <w:vertAlign w:val="baseline"/>
        </w:rPr>
        <w:t> [*11775] </w:t>
      </w:r>
      <w:r>
        <w:rPr>
          <w:rFonts w:ascii="arial" w:eastAsia="arial" w:hAnsi="arial" w:cs="arial"/>
          <w:b w:val="0"/>
          <w:i w:val="0"/>
          <w:strike w:val="0"/>
          <w:noProof w:val="0"/>
          <w:color w:val="000000"/>
          <w:position w:val="0"/>
          <w:sz w:val="20"/>
          <w:u w:val="none"/>
          <w:vertAlign w:val="baseline"/>
        </w:rPr>
        <w:t xml:space="preserve">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Model Demonstration Projects to Improve Literacy Outcomes for English Learners with Disabilities in Grades Three through Five or Three through Six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84.326M, must be submitted electronically using the Governmentwide Grants.gov Apply site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Model Demonstration Projects to Improve Literacy Outcomes for English Learners with Disabilities in Grades Three through Five or Three through Six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 p.m., Washington, DC time, on the application deadline date. Except as otherwise noted in this section, we will not accept your application if it is received--that is, date and time stamped by the Grants.gov system--after 4:30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3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submit all documents electronically, including all information you typically provide on the following forms: The Application for Federal Assistance (SF 424), the Department of Education Supplemental Information for SF 424, Budget Information--Non- </w:t>
      </w:r>
      <w:r>
        <w:rPr>
          <w:rFonts w:ascii="arial" w:eastAsia="arial" w:hAnsi="arial" w:cs="arial"/>
          <w:b/>
          <w:i w:val="0"/>
          <w:strike w:val="0"/>
          <w:noProof w:val="0"/>
          <w:color w:val="000000"/>
          <w:position w:val="0"/>
          <w:sz w:val="20"/>
          <w:u w:val="none"/>
          <w:vertAlign w:val="baseline"/>
        </w:rPr>
        <w:t> [*11776] </w:t>
      </w:r>
      <w:r>
        <w:rPr>
          <w:rFonts w:ascii="arial" w:eastAsia="arial" w:hAnsi="arial" w:cs="arial"/>
          <w:b w:val="0"/>
          <w:i w:val="0"/>
          <w:strike w:val="0"/>
          <w:noProof w:val="0"/>
          <w:color w:val="000000"/>
          <w:position w:val="0"/>
          <w:sz w:val="20"/>
          <w:u w:val="none"/>
          <w:vertAlign w:val="baseline"/>
        </w:rPr>
        <w:t xml:space="preserve"> 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Tara Courchaine, U.S. Department of Education, 400 Maryland Avenue SW., Room 5143, Potomac Center Plaza, Washington, DC 20202-5108.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84.326M)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 </w:t>
      </w:r>
      <w:r>
        <w:rPr>
          <w:rFonts w:ascii="arial" w:eastAsia="arial" w:hAnsi="arial" w:cs="arial"/>
          <w:b/>
          <w:i w:val="0"/>
          <w:strike w:val="0"/>
          <w:noProof w:val="0"/>
          <w:color w:val="000000"/>
          <w:position w:val="0"/>
          <w:sz w:val="20"/>
          <w:u w:val="none"/>
          <w:vertAlign w:val="baseline"/>
        </w:rPr>
        <w:t> [*11777]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84.326M)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34"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We will use these measures to evaluate the extent to which projects provide high-quality products and services, the relevance of project products and services to educational and early intervention policy and practice, and the use of products and services to improve educational and early intervention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48"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[*11778]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20,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Tara Courchaine, U.S. Department of Education, 400 Maryland Avenue SW., Room 5143, Potomac Center Plaza, Washington, DC 20202-5108. Telephone: (202) 245-6462.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2016-05026 Filed 3-4-16;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11770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https://advance.lexis.com/api/document?collection=statutes-legislation&amp;id=urn:contentItem:4YF7-GN31-NRF4-40GT-00000-00&amp;context=" TargetMode="External" /><Relationship Id="rId12" Type="http://schemas.openxmlformats.org/officeDocument/2006/relationships/hyperlink" Target="https://advance.lexis.com/api/document?collection=administrative-codes&amp;id=urn:contentItem:54CT-73J0-006W-82NC-00000-00&amp;context=" TargetMode="External" /><Relationship Id="rId13" Type="http://schemas.openxmlformats.org/officeDocument/2006/relationships/hyperlink" Target="http://www.ed.gov/fpco" TargetMode="External" /><Relationship Id="rId14" Type="http://schemas.openxmlformats.org/officeDocument/2006/relationships/hyperlink" Target="mailto:FERPA@ed.gov" TargetMode="External" /><Relationship Id="rId15" Type="http://schemas.openxmlformats.org/officeDocument/2006/relationships/hyperlink" Target="http://mdcc.sri.com/documents/reports/MDCC_Site_Assessment_Brief_09-30-11.pdf" TargetMode="External" /><Relationship Id="rId16" Type="http://schemas.openxmlformats.org/officeDocument/2006/relationships/hyperlink" Target="http://mdcc.sri.com/documents/MDCC_PreparationStage_Brief_Apr2013.pdf" TargetMode="External" /><Relationship Id="rId17" Type="http://schemas.openxmlformats.org/officeDocument/2006/relationships/hyperlink" Target="http://mdcc.sri.com/documents/MDCC_ReplicationBrief_SEP2013.pdf" TargetMode="External" /><Relationship Id="rId18" Type="http://schemas.openxmlformats.org/officeDocument/2006/relationships/hyperlink" Target="http://www.researchutilization.org/matrix/logicmodel_resource3c.html" TargetMode="External" /><Relationship Id="rId19" Type="http://schemas.openxmlformats.org/officeDocument/2006/relationships/hyperlink" Target="http://www.osepideasthatwork.org/logicModel/index.asp" TargetMode="External" /><Relationship Id="rId2" Type="http://schemas.openxmlformats.org/officeDocument/2006/relationships/webSettings" Target="webSettings.xml" /><Relationship Id="rId20" Type="http://schemas.openxmlformats.org/officeDocument/2006/relationships/hyperlink" Target="http://ceedar.education.ufl.edu/tools/innovation-configurations/" TargetMode="External" /><Relationship Id="rId21" Type="http://schemas.openxmlformats.org/officeDocument/2006/relationships/hyperlink" Target="http://dx.doi.org/10.1080/1754730X.2008.9715730" TargetMode="External" /><Relationship Id="rId22" Type="http://schemas.openxmlformats.org/officeDocument/2006/relationships/hyperlink" Target="http://gradelevelreading.net/wp-content/uploads/2012/01/Double-Jeopardy-Report-030812-for-web1.pdf" TargetMode="External" /><Relationship Id="rId23" Type="http://schemas.openxmlformats.org/officeDocument/2006/relationships/hyperlink" Target="http://nationsreportcard.gov" TargetMode="External" /><Relationship Id="rId24" Type="http://schemas.openxmlformats.org/officeDocument/2006/relationships/hyperlink" Target="http://ies.ed.gov/ncee/wwc/DocumentSum.aspx?sid=19" TargetMode="External" /><Relationship Id="rId25" Type="http://schemas.openxmlformats.org/officeDocument/2006/relationships/hyperlink" Target="http://www.ed.gov/fund/grant/apply/grantapps/index.html" TargetMode="External" /><Relationship Id="rId26" Type="http://schemas.openxmlformats.org/officeDocument/2006/relationships/hyperlink" Target="http://www.EDPubs.gov" TargetMode="External" /><Relationship Id="rId27" Type="http://schemas.openxmlformats.org/officeDocument/2006/relationships/hyperlink" Target="mailto:edpubs@inet.ed.gov" TargetMode="External" /><Relationship Id="rId28" Type="http://schemas.openxmlformats.org/officeDocument/2006/relationships/hyperlink" Target="http://fedgov.dnb.com/webform" TargetMode="External" /><Relationship Id="rId29" Type="http://schemas.openxmlformats.org/officeDocument/2006/relationships/hyperlink" Target="http://www.SAM.gov" TargetMode="External" /><Relationship Id="rId3" Type="http://schemas.openxmlformats.org/officeDocument/2006/relationships/fontTable" Target="fontTable.xml" /><Relationship Id="rId30" Type="http://schemas.openxmlformats.org/officeDocument/2006/relationships/hyperlink" Target="http://www.grants.gov/web/grants/register.html" TargetMode="External" /><Relationship Id="rId31" Type="http://schemas.openxmlformats.org/officeDocument/2006/relationships/hyperlink" Target="http://www.Grants.gov" TargetMode="External" /><Relationship Id="rId32" Type="http://schemas.openxmlformats.org/officeDocument/2006/relationships/hyperlink" Target="http://www.G5.gov" TargetMode="External" /><Relationship Id="rId33" Type="http://schemas.openxmlformats.org/officeDocument/2006/relationships/hyperlink" Target="http://www.grants.gov/web/grants/applicants/apply-for-grants.html" TargetMode="External" /><Relationship Id="rId34" Type="http://schemas.openxmlformats.org/officeDocument/2006/relationships/hyperlink" Target="https://advance.lexis.com/api/document?collection=administrative-codes&amp;id=urn:contentItem:5S7T-7HS0-008H-02VY-00000-00&amp;context=" TargetMode="External" /><Relationship Id="rId35" Type="http://schemas.openxmlformats.org/officeDocument/2006/relationships/hyperlink" Target="https://advance.lexis.com/api/document?collection=administrative-codes&amp;id=urn:contentItem:5GMB-DPB0-008H-02GP-00000-00&amp;context=" TargetMode="External" /><Relationship Id="rId36" Type="http://schemas.openxmlformats.org/officeDocument/2006/relationships/hyperlink" Target="https://advance.lexis.com/api/document?collection=administrative-codes&amp;id=urn:contentItem:5KS0-F5W0-008H-023P-00000-00&amp;context=" TargetMode="External" /><Relationship Id="rId37" Type="http://schemas.openxmlformats.org/officeDocument/2006/relationships/hyperlink" Target="https://advance.lexis.com/api/document?collection=administrative-codes&amp;id=urn:contentItem:5R5H-J1H0-008H-043K-00000-00&amp;context=" TargetMode="External" /><Relationship Id="rId38" Type="http://schemas.openxmlformats.org/officeDocument/2006/relationships/hyperlink" Target="https://advance.lexis.com/api/document?collection=administrative-codes&amp;id=urn:contentItem:5KS0-F5W0-008H-024V-00000-00&amp;context=" TargetMode="External" /><Relationship Id="rId39" Type="http://schemas.openxmlformats.org/officeDocument/2006/relationships/hyperlink" Target="https://advance.lexis.com/api/document?collection=administrative-codes&amp;id=urn:contentItem:5KS0-F600-008H-02P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5W0-008H-025B-00000-00&amp;context=" TargetMode="External" /><Relationship Id="rId41" Type="http://schemas.openxmlformats.org/officeDocument/2006/relationships/hyperlink" Target="https://advance.lexis.com/api/document?collection=administrative-codes&amp;id=urn:contentItem:5HDM-DHF0-008G-Y2NJ-00000-00&amp;context=" TargetMode="External" /><Relationship Id="rId42" Type="http://schemas.openxmlformats.org/officeDocument/2006/relationships/hyperlink" Target="https://advance.lexis.com/api/document?collection=administrative-codes&amp;id=urn:contentItem:5F34-Y1R0-008G-Y1F9-00000-00&amp;context=" TargetMode="External" /><Relationship Id="rId43" Type="http://schemas.openxmlformats.org/officeDocument/2006/relationships/hyperlink" Target="https://advance.lexis.com/api/document?collection=administrative-codes&amp;id=urn:contentItem:5F2R-48P0-008G-Y31V-00000-00&amp;context=" TargetMode="External" /><Relationship Id="rId44" Type="http://schemas.openxmlformats.org/officeDocument/2006/relationships/hyperlink" Target="https://advance.lexis.com/api/document?collection=administrative-codes&amp;id=urn:contentItem:5GMB-DPC0-008H-02S7-00000-00&amp;context=" TargetMode="External" /><Relationship Id="rId45" Type="http://schemas.openxmlformats.org/officeDocument/2006/relationships/hyperlink" Target="https://advance.lexis.com/api/document?collection=administrative-codes&amp;id=urn:contentItem:5GMB-DPC0-008H-02SK-00000-00&amp;context=" TargetMode="External" /><Relationship Id="rId46" Type="http://schemas.openxmlformats.org/officeDocument/2006/relationships/hyperlink" Target="http://www.ed.gov/fund/grant/apply/appforms/appforms.html" TargetMode="External" /><Relationship Id="rId47" Type="http://schemas.openxmlformats.org/officeDocument/2006/relationships/hyperlink" Target="https://advance.lexis.com/api/document?collection=administrative-codes&amp;id=urn:contentItem:5GMB-DPB0-008H-0272-00000-00&amp;context=" TargetMode="External" /><Relationship Id="rId48" Type="http://schemas.openxmlformats.org/officeDocument/2006/relationships/hyperlink" Target="https://advance.lexis.com/api/document?collection=administrative-codes&amp;id=urn:contentItem:5GMB-DPB0-008H-027J-00000-00&amp;context=" TargetMode="External" /><Relationship Id="rId49" Type="http://schemas.openxmlformats.org/officeDocument/2006/relationships/hyperlink" Target="https://advance.lexis.com/api/document?collection=administrative-codes&amp;id=urn:contentItem:5GMB-DPB0-008H-02K8-00000-00&amp;context=" TargetMode="External" /><Relationship Id="rId5" Type="http://schemas.openxmlformats.org/officeDocument/2006/relationships/footer" Target="footer1.xml" /><Relationship Id="rId50" Type="http://schemas.openxmlformats.org/officeDocument/2006/relationships/hyperlink" Target="http://www.gpo.gov/fdsys" TargetMode="External" /><Relationship Id="rId51" Type="http://schemas.openxmlformats.org/officeDocument/2006/relationships/hyperlink" Target="http://www.federalregister.gov" TargetMode="Externa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7T-V0M0-006W-83YG-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P71-NRF4-41B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32306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