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131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001, Monday, January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131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Modify the Professional Subscriber Fee for Non-Display Usage via Direct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34-76779; File No. SR-NASDAQ-2015-157]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18, 2015, The NASDAQ Stock Market LLC ("NASDAQ" or "Exchange") filed with the Securities and Exchange Commission ("Commission" or "SEC") the proposed rule change as described in Items I, II, and III below, which Items have been prepared by NASDAQ.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proposes to modify the fee structure applicable to Professional Subscribers ("Subscribers") for Non-Display Usage via Direct Access. While the changes proposed herein are effective upon filing, the Exchange has designated that the amendments be operative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below. Proposed new language is </w:t>
      </w:r>
      <w:r>
        <w:rPr>
          <w:rFonts w:ascii="arial" w:eastAsia="arial" w:hAnsi="arial" w:cs="arial"/>
          <w:b w:val="0"/>
          <w:i/>
          <w:strike w:val="0"/>
          <w:noProof w:val="0"/>
          <w:color w:val="000000"/>
          <w:position w:val="0"/>
          <w:sz w:val="20"/>
          <w:u w:val="none"/>
          <w:vertAlign w:val="baseline"/>
        </w:rPr>
        <w:t>italicized;</w:t>
      </w:r>
      <w:r>
        <w:rPr>
          <w:rFonts w:ascii="arial" w:eastAsia="arial" w:hAnsi="arial" w:cs="arial"/>
          <w:b w:val="0"/>
          <w:i w:val="0"/>
          <w:strike w:val="0"/>
          <w:noProof w:val="0"/>
          <w:color w:val="000000"/>
          <w:position w:val="0"/>
          <w:sz w:val="20"/>
          <w:u w:val="none"/>
          <w:vertAlign w:val="baseline"/>
        </w:rPr>
        <w:t xml:space="preserve"> proposed deletions are bracketed.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NASDAQ Stock Market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Equity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7023. NASDAQ Depth-of-Book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Subscriber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Professional Subscribers pay a monthly fee for Non-Display Usage based upon Direct Access to NASDAQ Level 2, NASDAQ TotalView, or NASDAQ OpenView: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Subscribers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 fee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$ 3[00]75 per Subscriber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[5]40-99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$ 15,000.00 per firm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100-249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$ 30,000.00 per firm</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$ 75,000.00 per firm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Subscriber fee for Non-Display Usage via Direct Access[ed] applies to any Subscriber that accesses any data elements included in any Depth-of-Book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these statements may be examined at the places specified in Item IV below. NASDAQ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modify and simplify the fee structure applicable to Professional Subscribers for Non-Display Usage via Direct Access. Specifically, the Exchange proposes to remove the 11-29 Subscriber and 30-49 Subscriber pricing tiers and replace the 1-10 Subscriber tier priced at $ 300 per Subscriber with a 1-39 Subscriber tier priced at $ 375 per Subscriber. The 50-99 Subscriber tier priced at $ 15,000 per firm is subsequently being adjusted to apply between [sic] 40-99 Subscribers. Minor clarificatory and typographical changes are also being included in the proposed rule change. This proposed rule change will not affect the pricing of the NASDAQ Level 2, NASDAQ TotalView or NASDAQ OpenView Non-Professional Subscriber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represents the first price revision since the 2012 introduction of the current tiered Non-Display fee model. Notwithstanding this, NASDAQ has invested in its systems, networks and operational controls to ensure that its depth offering meet [sic] the same high level of performance and resiliency that customers have come to expect. The Exchange has also upgraded and refreshed its disaster recovery capabilities, adding to the increased focus on redundancy and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has also invested in, and continues to make enhancements to, the Net Order Imbalance Indicator ("NOII"). The NOII is a vital imbalance data tool, and is included as a part of Nasdaq TotalView. It is designed to specifically increase the value of auction information, and provide a greater level of transparency around these events. One enhancement result is that shares indicated in the imbalance will now represent the excess shares to buy or sell at the reference price, inclusive of hidden, reserve and immediate or cancel ("IOC")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fee structure also represents a realization of the actual usage by Subscribers, as the tiers being removed were experiencing limited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provisions of Section 6 of the Act, n3 in general, and with Sections 6(b)(4) and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6(b)(5) of the Act, n4 in particular, in that it provides an equitable allocation of reasonable fees among Subscribers and recipients of NASDAQ data and is not designed to permit unfair discrimination between them. NASDAQ's proposal to modify and simplify the fee structure applicable to Professional Subscribers for Non-Display Usage via Direct Access is also consistent with the Act in that it reflects an equitable allocation of reasonable fees. The Commission has long recognized the fair and equitable and not unreasonably discriminatory nature of assessing different fees for Professional and Non-Professional Users of the same data. NASDAQ also believes it is equitable to assess a higher fee per Professional User than to an ordinary Non-Professional User due to the enhanced flexibility, lower overall costs and value that it offers Distributors.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 Level 2, NASDAQ TotalView and NASDAQ OpenView are precisely the sort of market data products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NASDAQ's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NASDAQ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n7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the allocation of the proposed fee is fair and equitable in accordance with Section 6(b)(4) of the Act, and not unreasonably discriminatory in accordance with Section 6(b)(5) of the Act. As described above, the proposed fee is based on pricing conventions and distinctions that exist in NASDAQ's current fee schedule. These distinctions are each based on principles of fairness and equity that have helped for many years to maintain fair, equitable, and not unreasonably discriminatory fees, and that apply with equal or greater force to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NASDAQ has calculated improperly and the market deems the proposed fees to be unfair, inequitable, or unreasonably discriminatory, firms can discontinue the use of their data because the proposed product is entirely optional to all parties. Firms are not required to purchase data and NASDAQ is not required to make data available or to offer specific pricing alternatives for potential purchases. NASDAQ can discontinue offering a pricing alternative (as it has in the past) and firms can discontinue their use at any time and for any reason (as they often do), including due to their assessment of the reasonableness of fees charged. NASDAQ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periodically it must adjust the Subscriber fees to reflect market forces. NASDAQ believes it is an appropriate time to adjust this fee to more accurately reflect the investments made to enhance this product through capacity upgrades and regulatory data sets added. This also reflects that the market for this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[sic]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NASDAQ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customers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[sic]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n9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n10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 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 xml:space="preserve"> [sic].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SR-NASDAQ-2015-157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SR-NASDAQ-2015-157. This file number should be included on the subject line if email is used. To help the Commission process and review your comments more efficiently, please use only one method. The Commission will post all comments on the Commission's Internet Web site (</w:t>
      </w:r>
      <w:hyperlink r:id="rId1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available publicly. All submissions should refer to File Number SR-NASDAQ-2015-157 and should be submitted on or before January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M. Peterson,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2015-32989 Filed 12-31-15;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131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s://advance.lexis.com/api/document?collection=cases&amp;id=urn:contentItem:803V-DT30-YB0V-T01B-00000-00&amp;context=" TargetMode="External" /><Relationship Id="rId13" Type="http://schemas.openxmlformats.org/officeDocument/2006/relationships/hyperlink" Target="https://advance.lexis.com/api/document?collection=cases&amp;id=urn:contentItem:589M-GYC1-F04K-Y02R-00000-00&amp;context=" TargetMode="External" /><Relationship Id="rId14" Type="http://schemas.openxmlformats.org/officeDocument/2006/relationships/hyperlink" Target="http://www.cinnober.com/boat-trade-reporting" TargetMode="External" /><Relationship Id="rId15" Type="http://schemas.openxmlformats.org/officeDocument/2006/relationships/hyperlink" Target="http://www.sec.gov/rules/sro.shtml" TargetMode="External" /><Relationship Id="rId16" Type="http://schemas.openxmlformats.org/officeDocument/2006/relationships/hyperlink" Target="mailto:rule-comments@sec.gov" TargetMode="External" /><Relationship Id="rId17" Type="http://schemas.openxmlformats.org/officeDocument/2006/relationships/hyperlink" Target="https://advance.lexis.com/api/document?collection=administrative-codes&amp;id=urn:contentItem:5SPP-2120-008G-Y2ND-00000-00&amp;context="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SC-GRG0-006W-82PG-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81387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