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15090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054, Monday, March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15090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Carol M. White Physical Education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Carol M. White Physical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84.215F.</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[*15098] </w:t>
      </w: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Advisor to the Secretary Delegated the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2016-06301 Filed 3-18-16;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19,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Carol M. White Physical Education Program (PEP) provides grants to local educational agencies (LEAs) and community-based organizations (CBOs) to initiate, expand, and improve physical education for students in grades K-12. Grant recipients must implement programs that help students make progress toward meeting State physical education standards.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The absolute priority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are from the notice of final priorities, requirements, and definitions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18, 2010 </w:t>
      </w:r>
      <w:hyperlink r:id="rId10" w:history="1">
        <w:r>
          <w:rPr>
            <w:rFonts w:ascii="arial" w:eastAsia="arial" w:hAnsi="arial" w:cs="arial"/>
            <w:b w:val="0"/>
            <w:i/>
            <w:strike w:val="0"/>
            <w:noProof w:val="0"/>
            <w:color w:val="0077CC"/>
            <w:position w:val="0"/>
            <w:sz w:val="20"/>
            <w:u w:val="single"/>
            <w:vertAlign w:val="baseline"/>
          </w:rPr>
          <w:t>(75 FR 34892).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are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73426).</w:t>
        </w:r>
      </w:hyperlink>
      <w:r>
        <w:rPr>
          <w:rFonts w:ascii="arial" w:eastAsia="arial" w:hAnsi="arial" w:cs="arial"/>
          <w:b w:val="0"/>
          <w:i w:val="0"/>
          <w:strike w:val="0"/>
          <w:noProof w:val="0"/>
          <w:color w:val="000000"/>
          <w:position w:val="0"/>
          <w:sz w:val="20"/>
          <w:u w:val="none"/>
          <w:vertAlign w:val="baseline"/>
        </w:rPr>
        <w:t xml:space="preserve"> The invitational priority is based on 34 CFR 75.226(d)(4).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w:t>
      </w:r>
      <w:r>
        <w:rPr>
          <w:rFonts w:ascii="arial" w:eastAsia="arial" w:hAnsi="arial" w:cs="arial"/>
          <w:b/>
          <w:i w:val="0"/>
          <w:strike w:val="0"/>
          <w:noProof w:val="0"/>
          <w:color w:val="000000"/>
          <w:position w:val="0"/>
          <w:sz w:val="20"/>
          <w:u w:val="none"/>
          <w:vertAlign w:val="baseline"/>
        </w:rPr>
        <w:t> [*15091] </w:t>
      </w:r>
      <w:r>
        <w:rPr>
          <w:rFonts w:ascii="arial" w:eastAsia="arial" w:hAnsi="arial" w:cs="arial"/>
          <w:b w:val="0"/>
          <w:i w:val="0"/>
          <w:strike w:val="0"/>
          <w:noProof w:val="0"/>
          <w:color w:val="000000"/>
          <w:position w:val="0"/>
          <w:sz w:val="20"/>
          <w:u w:val="none"/>
          <w:vertAlign w:val="baseline"/>
        </w:rPr>
        <w:t xml:space="preserve">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Programs Designed To Create Quality Physical Education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an applicant is required to develop, expand, or improve its physical education program and address its State's physical education standards by undertaking the following activities: (1) Instruction in healthy eating habits and good nutrition and (2) physical fitness activities that must include at least one of the following: (a) Fitness education and assessment to help students understand, improve, or maintain their physical well-being; (b) instruction in a variety of motor skills and physical activities designed to enhance the physical, mental, and social or emotional development of every student; (c) development of, and instruction in, cognitive concepts about motor skills and physical fitness that support a lifelong healthy lifestyle; (d) opportunities to develop positive social and cooperative skills through physical activity participation; or (e) opportunities for professional development for teachers of physical education to stay abreast of the latest research, issues, and trends in the field of physical education.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will award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and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3. The maximum number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an application can receive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order to be eligible for earning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an applicant must identify in the abstract section of its application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for which it is seeking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that fail to clearly identify in the abstract section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for which they are seeking to earn points will not be reviewed against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will not be awarded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Partnerships Between Applicants and Supporting Community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give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 an applicant that includes in its application an agreement that details the participation of required partners, as defined in this notice. The agreement must include a description of: (1) Each partner's roles and responsibilities in the project; (2) how each partner will contribute to the project, including any contribution to the local match; (3) an assurance that the application was developed after timely and meaningful consultation between the required parties, as defined in this notice; and (4) a commitment to work together to reach the desired goals and outcomes of the project. The partner agreement must be signed by the Authorized Representative of each of the required partners and by other partners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LEA applicant, this partnership agreement must include: (1) The LEA; (2) at least one CBO; (3) a local public health entity, as defined in this notice; (4) the LEA's food service or child nutrition director; and (5) the head of the local government,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CBO applicant, the partnership agreement must include: (1) The CBO; (2) a local public health entity, as defined in this notice; (3) a local organization supporting nutrition or healthy eating, as defined in this notice; (4) the head of the local government, as defined in this notice; and (5) the LEA from which the largest number of students expected to participate in the CBO's project attend. If the CBO applicant is a school, such as a parochial or other private school, the applicant must describe its school as part of the partnership agreement but is not required to provide an additional signature from an LEA or another school. A CBO applicant that is a school and serves its own population of students is required to include another CBO as part of its partnership and include the head of that CBO as a signatory on the partnership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partnerships with other parties are required for this priority, the eligible applicant must retain the administrative and fiscal control of the project.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2--Development of Non-Cognitive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give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 an applicant that includes in its application projects that are designed to improve students' mastery of non-cognitive skills and behaviors (such as academic behaviors, academic mindset, perseverance,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social and emotional skills, and approaches toward learning strategies) and enhance student motivation and engagement in learning.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3--Supporting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give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 an applicant that includes in its application projects designed to improve academic outcomes; learning environments; or both for students in lowest-performing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Priority--Evidence of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in which physical education or nutrition education programs and practices are supported by research studies that demonstrate evidence of promise as defined in 34 CFR 77.1(c).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Under this priority, we are inviting applications that meet the evidence of promise standard as defined in 34 CFR 77.1(c). Each applicant is encouraged to submit a citation for the study or studies that supports the applicant's proposed process, strategy, or practice and that the applicant provides as justification that it meets the evidence of promise standard. If applicable and available, the on-line link for the citation should be provided in the Abstract.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requirements, which are from the notice of final priorities, requirements, and definitions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18, 2010 </w:t>
      </w:r>
      <w:hyperlink r:id="rId10" w:history="1">
        <w:r>
          <w:rPr>
            <w:rFonts w:ascii="arial" w:eastAsia="arial" w:hAnsi="arial" w:cs="arial"/>
            <w:b w:val="0"/>
            <w:i/>
            <w:strike w:val="0"/>
            <w:noProof w:val="0"/>
            <w:color w:val="0077CC"/>
            <w:position w:val="0"/>
            <w:sz w:val="20"/>
            <w:u w:val="single"/>
            <w:vertAlign w:val="baseline"/>
          </w:rPr>
          <w:t>(75 FR 34892),</w:t>
        </w:r>
      </w:hyperlink>
      <w:r>
        <w:rPr>
          <w:rFonts w:ascii="arial" w:eastAsia="arial" w:hAnsi="arial" w:cs="arial"/>
          <w:b w:val="0"/>
          <w:i w:val="0"/>
          <w:strike w:val="0"/>
          <w:noProof w:val="0"/>
          <w:color w:val="000000"/>
          <w:position w:val="0"/>
          <w:sz w:val="20"/>
          <w:u w:val="none"/>
          <w:vertAlign w:val="baseline"/>
        </w:rPr>
        <w:t xml:space="preserve">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1--Align Project Goals With Identified Needs Using the School Health Index (SHI)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must complete the physical activity and nutrition questions in Modules 1-4 of the Center for Disease Control's (CDC's) SHI self-assessment tool and develop project goals and plans that address the identified needs. Modules 1-4 are School Health and Safety Policies and Environment, Health Education, Physical Activity and Other Physical Activity Programs, and Nutrition Services. LEA applicants must use the SHI self-assessment to develop a School Health Improvement Plan focused on improving these issues, and </w:t>
      </w:r>
      <w:r>
        <w:rPr>
          <w:rFonts w:ascii="arial" w:eastAsia="arial" w:hAnsi="arial" w:cs="arial"/>
          <w:b/>
          <w:i w:val="0"/>
          <w:strike w:val="0"/>
          <w:noProof w:val="0"/>
          <w:color w:val="000000"/>
          <w:position w:val="0"/>
          <w:sz w:val="20"/>
          <w:u w:val="none"/>
          <w:vertAlign w:val="baseline"/>
        </w:rPr>
        <w:t> [*15092] </w:t>
      </w:r>
      <w:r>
        <w:rPr>
          <w:rFonts w:ascii="arial" w:eastAsia="arial" w:hAnsi="arial" w:cs="arial"/>
          <w:b w:val="0"/>
          <w:i w:val="0"/>
          <w:strike w:val="0"/>
          <w:noProof w:val="0"/>
          <w:color w:val="000000"/>
          <w:position w:val="0"/>
          <w:sz w:val="20"/>
          <w:u w:val="none"/>
          <w:vertAlign w:val="baseline"/>
        </w:rPr>
        <w:t xml:space="preserve"> design an initiative that addresses their identified gaps and weaknesses. Applicants must include their Overall Score Card for the questions answered in Modules 1-4 in their application, and correlate their School Health Improvement Plan to their project design. Grantees must also complete the same modules of the SHI at the end of the project period and submit the Overall Score Card from the second assessment in their final reports to demonstrate SHI completion and program improvement as a result of PEP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CBO applicant (unless the CBO is a school) is in a partner agreement with an LEA or school, it must collaborate with its partner or partners to complete Modules 1-4 of the 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if the CBO has not identified a school or LEA partner, the CBO is not required to do Modules 1-4 of the SHI but must use an alternative needs assessment tool to assess the nutrition and physical activity environment in the community for children. CBO applicants are required to include their overall findings from the community needs assessment and correlate their findings with their project design. Grantees will be required to complete the same needs assessment at the end of their project and submit their findings in their final reports to demonstrate the completion of the assessment and program involvement as a result of PEP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2--Nutrition- and Physical Activity-Related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must develop, update, or enhance physical activity policies and food- and nutrition-related policies that promote healthy eating and physical activity throughout students' everyday lives, as part of their PEP projects. Applicants must describe in their application their current policy framework, areas of focus, and the planned process for policy development, implementation, review, and monitoring. Grantees will be required to detail at the end of their project period in their final reports the physical activity and nutrition policies selected and how the policies improved through the course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must sign a Program-Specific Assurance that commits them to developing, updating, or enhancing these policies during the project period. Applicants that do not submit such a Program-Specific Assurance signed by the applicant's Authorized Representative are ineligible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3--Linkage With Local Wellness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are participating in a program authorized by the Richard B. Russell National School Lunch Act and the Child Nutrition and WIC Reauthorization Act of 2004 must describe in their applications their school district's established local wellness policy and how the proposed PEP project will align with, support, complement, and enhance the implementation of the applicant's local wellness policy. The LEA's local wellness policy should address all requirements in the Child Nutrition Act of 1966. CBO applicants must describe in their applications how their proposed projects would enhance or support the intent of the local wellness policies of their LEA partner(s), if they are working in a partnership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applicant or a member of its partnership group does not participate in the school lunch program authorized by the Richard B. Russell National School Lunch Act and the Child Nutrition Act and the WIC Reauthorization Act of 2004, it will not necessarily have a local wellness policy and, thus, is not required to meet this requirement or adopt a local wellness policy. However, we encourage those applicants to develop and adopt a local wellness policy, consistent with the provisions in the Richard B. Russell National School Lunch Act and the Child Nutrition Act and the WIC Reauthorization Act of 2004 in conjunction with its PEP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must sign a Program-Specific Assurance that commits them to align their PEP project with the district's Local Wellness Policy, if applicable. Applicants to whom this requirement applies that do not submit a Program-Specific Assurance signed by the applicant's Authorized Representative are ineligible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4--Equipment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Purchases of equipment with PEP funds or with funds used to meet the program's matching requirement must be aligned with the curricular components of the proposed physical education and nutrition program. Applicants must commit to aligning the students' use of the equipment with PEP elements applicable to their projects, identified in the absolute priority in this notice, and any applicable curricula by signing a Program-Specific Assurance. Applicants that do not submit a Program-Specific Assurance signed by the applicant's Authorized Representative are ineligible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5--Increasing Transparency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must create or use existing reporting mechanisms to provide information on students' progress, in the aggregate, on the key program indicators, as described in this notice and required under the Government Performance and Results Act, as well as on any unique project-level measures proposed in the application. Grantees that are educational agencies or institutions are subject to applicable Federal, State, and local privacy provisions, including the Family Educational Rights and Privacy Act--a law that generally prohibits the non-consensual disclosure of personally identifiable information in a student's education record. All grantees must comply with applicable Federal, State, and local privacy provisions. The aggregate-level information should be easily accessible by the public, such as posted on the grantee's or a partner's Web site. Applicants must describe in their application the planned method for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must commit to reporting information to the public by signing a Program-Specific Assurance. Applicants that do not submit a Program-Specific Assurance signed by the applicant's Authorized Representative are ineligible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are from the notice of final priorities, requirements, and definitions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18, 2010 </w:t>
      </w:r>
      <w:hyperlink r:id="rId10" w:history="1">
        <w:r>
          <w:rPr>
            <w:rFonts w:ascii="arial" w:eastAsia="arial" w:hAnsi="arial" w:cs="arial"/>
            <w:b w:val="0"/>
            <w:i/>
            <w:strike w:val="0"/>
            <w:noProof w:val="0"/>
            <w:color w:val="0077CC"/>
            <w:position w:val="0"/>
            <w:sz w:val="20"/>
            <w:u w:val="single"/>
            <w:vertAlign w:val="baseline"/>
          </w:rPr>
          <w:t>(75 FR 34892);</w:t>
        </w:r>
      </w:hyperlink>
      <w:r>
        <w:rPr>
          <w:rFonts w:ascii="arial" w:eastAsia="arial" w:hAnsi="arial" w:cs="arial"/>
          <w:b w:val="0"/>
          <w:i w:val="0"/>
          <w:strike w:val="0"/>
          <w:noProof w:val="0"/>
          <w:color w:val="000000"/>
          <w:position w:val="0"/>
          <w:sz w:val="20"/>
          <w:u w:val="none"/>
          <w:vertAlign w:val="baseline"/>
        </w:rPr>
        <w:t xml:space="preserve">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73453);</w:t>
        </w:r>
      </w:hyperlink>
      <w:r>
        <w:rPr>
          <w:rFonts w:ascii="arial" w:eastAsia="arial" w:hAnsi="arial" w:cs="arial"/>
          <w:b w:val="0"/>
          <w:i w:val="0"/>
          <w:strike w:val="0"/>
          <w:noProof w:val="0"/>
          <w:color w:val="000000"/>
          <w:position w:val="0"/>
          <w:sz w:val="20"/>
          <w:u w:val="none"/>
          <w:vertAlign w:val="baseline"/>
        </w:rPr>
        <w:t xml:space="preserve"> the ESEA; and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After each definition, we identify its 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Community-based organization</w:t>
      </w:r>
      <w:r>
        <w:rPr>
          <w:rFonts w:ascii="arial" w:eastAsia="arial" w:hAnsi="arial" w:cs="arial"/>
          <w:b w:val="0"/>
          <w:i w:val="0"/>
          <w:strike w:val="0"/>
          <w:noProof w:val="0"/>
          <w:color w:val="000000"/>
          <w:position w:val="0"/>
          <w:sz w:val="20"/>
          <w:u w:val="none"/>
          <w:vertAlign w:val="baseline"/>
        </w:rPr>
        <w:t xml:space="preserve"> means a public or private nonprofit organization of demonstrated effectiveness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representative of a community or significant segments of a community;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Provides educational or related services to individuals in the community. (ESEA section 9101(6)).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w:t>
      </w:r>
      <w:r>
        <w:rPr>
          <w:rFonts w:ascii="arial" w:eastAsia="arial" w:hAnsi="arial" w:cs="arial"/>
          <w:b/>
          <w:i w:val="0"/>
          <w:strike w:val="0"/>
          <w:noProof w:val="0"/>
          <w:color w:val="000000"/>
          <w:position w:val="0"/>
          <w:sz w:val="20"/>
          <w:u w:val="none"/>
          <w:vertAlign w:val="baseline"/>
        </w:rPr>
        <w:t> [*15093] </w:t>
      </w:r>
      <w:r>
        <w:rPr>
          <w:rFonts w:ascii="arial" w:eastAsia="arial" w:hAnsi="arial" w:cs="arial"/>
          <w:b w:val="0"/>
          <w:i w:val="0"/>
          <w:strike w:val="0"/>
          <w:noProof w:val="0"/>
          <w:color w:val="000000"/>
          <w:position w:val="0"/>
          <w:sz w:val="20"/>
          <w:u w:val="none"/>
          <w:vertAlign w:val="baseline"/>
        </w:rPr>
        <w:t xml:space="preserve">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 (34 CFR 77.1(c)).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Head of local government</w:t>
      </w:r>
      <w:r>
        <w:rPr>
          <w:rFonts w:ascii="arial" w:eastAsia="arial" w:hAnsi="arial" w:cs="arial"/>
          <w:b w:val="0"/>
          <w:i w:val="0"/>
          <w:strike w:val="0"/>
          <w:noProof w:val="0"/>
          <w:color w:val="000000"/>
          <w:position w:val="0"/>
          <w:sz w:val="20"/>
          <w:u w:val="none"/>
          <w:vertAlign w:val="baseline"/>
        </w:rPr>
        <w:t xml:space="preserve"> means the head of, or an appropriate designee of, the party responsible for the civic functioning of the county, city, town, or municipality would be considered the head of local government. This includes, but is not limited to, the mayor, city manager, or county executive. </w:t>
      </w:r>
      <w:hyperlink r:id="rId10" w:history="1">
        <w:r>
          <w:rPr>
            <w:rFonts w:ascii="arial" w:eastAsia="arial" w:hAnsi="arial" w:cs="arial"/>
            <w:b w:val="0"/>
            <w:i/>
            <w:strike w:val="0"/>
            <w:noProof w:val="0"/>
            <w:color w:val="0077CC"/>
            <w:position w:val="0"/>
            <w:sz w:val="20"/>
            <w:u w:val="single"/>
            <w:vertAlign w:val="baseline"/>
          </w:rPr>
          <w:t>(75 FR 34892, 34909).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w:t>
      </w:r>
      <w:r>
        <w:rPr>
          <w:rFonts w:ascii="arial" w:eastAsia="arial" w:hAnsi="arial" w:cs="arial"/>
          <w:b w:val="0"/>
          <w:i w:val="0"/>
          <w:strike w:val="0"/>
          <w:noProof w:val="0"/>
          <w:color w:val="000000"/>
          <w:position w:val="0"/>
          <w:sz w:val="20"/>
          <w:u w:val="none"/>
          <w:vertAlign w:val="baseline"/>
        </w:rPr>
        <w:t xml:space="preserve"> (LEA)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term includes any other public institution or agency having administrative control and direction of a public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term includes an elementary school or secondary school funded by the Bureau of Indian Affairs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local educational agency receiving assistance under this Act with the smallest student population, except that the school shall not be subject to the jurisdiction of any State educational agency other than the Bureau of Indian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term includes educational service agencies and consortia of those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term includes the State educational agency in a State in which the State educational agency is the sole educational agency for all public schools. (ESEA section 9101(26)).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public health entity</w:t>
      </w:r>
      <w:r>
        <w:rPr>
          <w:rFonts w:ascii="arial" w:eastAsia="arial" w:hAnsi="arial" w:cs="arial"/>
          <w:b w:val="0"/>
          <w:i w:val="0"/>
          <w:strike w:val="0"/>
          <w:noProof w:val="0"/>
          <w:color w:val="000000"/>
          <w:position w:val="0"/>
          <w:sz w:val="20"/>
          <w:u w:val="none"/>
          <w:vertAlign w:val="baseline"/>
        </w:rPr>
        <w:t xml:space="preserve"> means an administrative or service unit of local or State government concerned with health and carrying some responsibility for the health of a jurisdiction smaller than the State (except for Rhode Island and Hawaii, because these States' health departments operate on behalf of local public health and have no sub-State unit). The definition applies to the State health department or the State public health entity in the event that the local public health entity does not govern health and nutrition issues for the local area. </w:t>
      </w:r>
      <w:hyperlink r:id="rId10" w:history="1">
        <w:r>
          <w:rPr>
            <w:rFonts w:ascii="arial" w:eastAsia="arial" w:hAnsi="arial" w:cs="arial"/>
            <w:b w:val="0"/>
            <w:i/>
            <w:strike w:val="0"/>
            <w:noProof w:val="0"/>
            <w:color w:val="0077CC"/>
            <w:position w:val="0"/>
            <w:sz w:val="20"/>
            <w:u w:val="single"/>
            <w:vertAlign w:val="baseline"/>
          </w:rPr>
          <w:t>(75 FR 34892, 34909).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Lowest-performing schools</w:t>
      </w:r>
      <w:r>
        <w:rPr>
          <w:rFonts w:ascii="arial" w:eastAsia="arial" w:hAnsi="arial" w:cs="arial"/>
          <w:b w:val="0"/>
          <w:i w:val="0"/>
          <w:strike w:val="0"/>
          <w:noProof w:val="0"/>
          <w:color w:val="000000"/>
          <w:position w:val="0"/>
          <w:sz w:val="20"/>
          <w:u w:val="none"/>
          <w:vertAlign w:val="baseline"/>
        </w:rPr>
        <w:t xml:space="preserve"> means, for a State with an approved request for flexibility under the Elementary and Secondary Education Act of 1965, as amended (ESEA), priority schools or Tier I and Tier II schools that have been identified under the School Improvement Grants program. For any other State, Tier I and Tier II schools that have been identified under the School Improvement Grants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 supporting nutrition or healthy eating</w:t>
      </w:r>
      <w:r>
        <w:rPr>
          <w:rFonts w:ascii="arial" w:eastAsia="arial" w:hAnsi="arial" w:cs="arial"/>
          <w:b w:val="0"/>
          <w:i w:val="0"/>
          <w:strike w:val="0"/>
          <w:noProof w:val="0"/>
          <w:color w:val="000000"/>
          <w:position w:val="0"/>
          <w:sz w:val="20"/>
          <w:u w:val="none"/>
          <w:vertAlign w:val="baseline"/>
        </w:rPr>
        <w:t xml:space="preserve"> means a local public or private non-profit school, health-related professional organization, local public health entity, or local business that has demonstrated interest and efforts in promoting student health or nutrition. This term includes, but is not limited to LEAs (particularly an LEA's school food or child nutrition director), grocery stores, supermarkets, restaurants, corner stores, farmers' markets, farms, other private businesses, hospitals, institutions of higher education, Cooperative Extension Service and 4H Clubs, and community gardening organizations, when such entities have demonstrated a clear intent to promote student health and nutrition or have made tangible efforts to do so. This definition does not include representatives from trade associations or representatives from any organization representing any producers or marketers of food or beverage product(s). </w:t>
      </w:r>
      <w:hyperlink r:id="rId10" w:history="1">
        <w:r>
          <w:rPr>
            <w:rFonts w:ascii="arial" w:eastAsia="arial" w:hAnsi="arial" w:cs="arial"/>
            <w:b w:val="0"/>
            <w:i/>
            <w:strike w:val="0"/>
            <w:noProof w:val="0"/>
            <w:color w:val="0077CC"/>
            <w:position w:val="0"/>
            <w:sz w:val="20"/>
            <w:u w:val="single"/>
            <w:vertAlign w:val="baseline"/>
          </w:rPr>
          <w:t>(75 FR 34892, 34909).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schools</w:t>
      </w:r>
      <w:r>
        <w:rPr>
          <w:rFonts w:ascii="arial" w:eastAsia="arial" w:hAnsi="arial" w:cs="arial"/>
          <w:b w:val="0"/>
          <w:i w:val="0"/>
          <w:strike w:val="0"/>
          <w:noProof w:val="0"/>
          <w:color w:val="000000"/>
          <w:position w:val="0"/>
          <w:sz w:val="20"/>
          <w:u w:val="none"/>
          <w:vertAlign w:val="baseline"/>
        </w:rPr>
        <w:t xml:space="preserve"> means schools that, based on the most recent data available, have been identified as among the lowest-performing schools in the State. The total number of priority schools in a State must be at least five percent of the Title I schools in the State. A priority school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school among the lowest five percent of Title I schools in the State based on the achievement of the "all students" group in terms of proficiency on the statewide assessments that are part of the SEA's differentiated recognition, accountability, and support system, combined, and has demonstrated a lack of progress on those assessments over a number of years in the "all students"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Title I-participating or Title I-eligible high school with a graduation rate that is less than 60 percent over a number of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Tier I or Tier II school under the School Improvement Grant (SIG) program that is using SIG funds to implement a school intervention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I schools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Title I school that has been identified as in improvement, corrective action, or restructuring under section 1116 of the Elementary and Secondary Education Act of 1965, as amended (ESEA) and that is identified by the SEA under paragraph (a)(1) of the definition of persistently lowest-achieving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elementary school that is eligible for Title I, Part A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(1)(i) Has not made adequate yearly progress for at least two consecutive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in the State's lowest quintile of performance based on proficiency rates on the State's assessments under section 1111(b)(3) of the Elementary and Secondary Education Act of 1965, as amended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no higher achieving than the highest-achieving school identified by the SEA under paragraph (a)(1)(i) of the definition of persistently lowest-achieving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II schools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secondary school that is eligible for, but does not receive, Title I, Part A funds and is identified by the State educational agency (SEA) under paragraph (a)(2) of the definition of persistently lowest-achieving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secondary school that is eligible for Title I, Part A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(1)(i) Has not made adequate yearly progress for at least two consecutive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in the State's lowest quintile of performance based on proficiency rates on the State's assessments under section 1111(b)(3) of the Elementary and Secondary Education Act of 1965, as amended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(2)(i) Is no higher achieving than the highest-achieving school identified by the SEA under paragraph (a)(2)(i) of the </w:t>
      </w:r>
      <w:r>
        <w:rPr>
          <w:rFonts w:ascii="arial" w:eastAsia="arial" w:hAnsi="arial" w:cs="arial"/>
          <w:b/>
          <w:i w:val="0"/>
          <w:strike w:val="0"/>
          <w:noProof w:val="0"/>
          <w:color w:val="000000"/>
          <w:position w:val="0"/>
          <w:sz w:val="20"/>
          <w:u w:val="none"/>
          <w:vertAlign w:val="baseline"/>
        </w:rPr>
        <w:t> [*15094] </w:t>
      </w:r>
      <w:r>
        <w:rPr>
          <w:rFonts w:ascii="arial" w:eastAsia="arial" w:hAnsi="arial" w:cs="arial"/>
          <w:b w:val="0"/>
          <w:i w:val="0"/>
          <w:strike w:val="0"/>
          <w:noProof w:val="0"/>
          <w:color w:val="000000"/>
          <w:position w:val="0"/>
          <w:sz w:val="20"/>
          <w:u w:val="none"/>
          <w:vertAlign w:val="baseline"/>
        </w:rPr>
        <w:t xml:space="preserve"> definition of persistently lowest-achieving school;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a high school that has had a graduation rate, as defined in 34 CFR 200.19(b), that is less than 60 percent over a number of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7261</w:t>
        </w:r>
      </w:hyperlink>
      <w:r>
        <w:rPr>
          <w:rFonts w:ascii="arial" w:eastAsia="arial" w:hAnsi="arial" w:cs="arial"/>
          <w:b w:val="0"/>
          <w:i w:val="0"/>
          <w:strike w:val="0"/>
          <w:noProof w:val="0"/>
          <w:color w:val="000000"/>
          <w:position w:val="0"/>
          <w:sz w:val="20"/>
          <w:u w:val="none"/>
          <w:vertAlign w:val="baseline"/>
        </w:rPr>
        <w:t>-7261f.</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and the Uniform Administrative Requirements, Cost Principles, and Audit Requirements for Federal Awards in 2 CFR part 200, as adopted and amended in 2 CFR part 3474. (c)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299. (d) The notice of final eligibility requirements for the Office of Safe and Drug-Free Schools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4, 2006 </w:t>
      </w:r>
      <w:hyperlink r:id="rId13" w:history="1">
        <w:r>
          <w:rPr>
            <w:rFonts w:ascii="arial" w:eastAsia="arial" w:hAnsi="arial" w:cs="arial"/>
            <w:b w:val="0"/>
            <w:i/>
            <w:strike w:val="0"/>
            <w:noProof w:val="0"/>
            <w:color w:val="0077CC"/>
            <w:position w:val="0"/>
            <w:sz w:val="20"/>
            <w:u w:val="single"/>
            <w:vertAlign w:val="baseline"/>
          </w:rPr>
          <w:t>(71 FR 70369).</w:t>
        </w:r>
      </w:hyperlink>
      <w:r>
        <w:rPr>
          <w:rFonts w:ascii="arial" w:eastAsia="arial" w:hAnsi="arial" w:cs="arial"/>
          <w:b w:val="0"/>
          <w:i w:val="0"/>
          <w:strike w:val="0"/>
          <w:noProof w:val="0"/>
          <w:color w:val="000000"/>
          <w:position w:val="0"/>
          <w:sz w:val="20"/>
          <w:u w:val="none"/>
          <w:vertAlign w:val="baseline"/>
        </w:rPr>
        <w:t xml:space="preserve"> (e) The notice of final priorities, requirements, and definitions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18, 2010 </w:t>
      </w:r>
      <w:hyperlink r:id="rId10" w:history="1">
        <w:r>
          <w:rPr>
            <w:rFonts w:ascii="arial" w:eastAsia="arial" w:hAnsi="arial" w:cs="arial"/>
            <w:b w:val="0"/>
            <w:i/>
            <w:strike w:val="0"/>
            <w:noProof w:val="0"/>
            <w:color w:val="0077CC"/>
            <w:position w:val="0"/>
            <w:sz w:val="20"/>
            <w:u w:val="single"/>
            <w:vertAlign w:val="baseline"/>
          </w:rPr>
          <w:t>(75 FR 34892).</w:t>
        </w:r>
      </w:hyperlink>
      <w:r>
        <w:rPr>
          <w:rFonts w:ascii="arial" w:eastAsia="arial" w:hAnsi="arial" w:cs="arial"/>
          <w:b w:val="0"/>
          <w:i w:val="0"/>
          <w:strike w:val="0"/>
          <w:noProof w:val="0"/>
          <w:color w:val="000000"/>
          <w:position w:val="0"/>
          <w:sz w:val="20"/>
          <w:u w:val="none"/>
          <w:vertAlign w:val="baseline"/>
        </w:rPr>
        <w:t xml:space="preserve"> (f)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73453).</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$ 23,000,000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$ 200,000-$ 800,000.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15. We expect to make awards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complete 3-year (36-month) period by front-loading all 3 years using FY 2016 funds. Additional information regarding this action can be found in the application package.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Eligible Applicants: (a) LEAs, including charter schools that are considered LEAs under State law, and CBOs, including faith-based organizations provided that they meet the applicable statutory and regulatory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Secretary limits eligibility under this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LEAs or CBOs that do not currently have an active grant under PEP. For the purpose of this eligibility requirement, a grant is considered active until the end of the grant's project or funding period, including any extensions of those periods that extend the grantee's authority to obligate funds. (See the notice of final eligibility requirements for the Office of Safe and Drug-Free Schools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4, 2006 </w:t>
      </w:r>
      <w:hyperlink r:id="rId13" w:history="1">
        <w:r>
          <w:rPr>
            <w:rFonts w:ascii="arial" w:eastAsia="arial" w:hAnsi="arial" w:cs="arial"/>
            <w:b w:val="0"/>
            <w:i/>
            <w:strike w:val="0"/>
            <w:noProof w:val="0"/>
            <w:color w:val="0077CC"/>
            <w:position w:val="0"/>
            <w:sz w:val="20"/>
            <w:u w:val="single"/>
            <w:vertAlign w:val="baseline"/>
          </w:rPr>
          <w:t>(71 FR 70369)).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Cost Sharing or Matching: In accordance with section 5506 of the ESEA, the Federal share of the project costs may not exceed (i) 90 percent of the total cost of a program for the first year for which the program receives assistance; and (ii) 75 percent of such cost for the second and each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Supplement-Not-Supplant: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involves supplement-not-supplant funding requirements. Funds made available under this program must be used to supplement, and not supplant, any other Federal, State, or local funds available for physical education activities in accordance with section 5507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An application for funds under this program may provide for the participation, in the activities funded, of (a) students enrolled in private nonprofit elementary schools or secondary schools, and their parents and teachers; or (b) home-schooled students, and their parents and teachers.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4" w:history="1">
        <w:r>
          <w:rPr>
            <w:rFonts w:ascii="arial" w:eastAsia="arial" w:hAnsi="arial" w:cs="arial"/>
            <w:b w:val="0"/>
            <w:i/>
            <w:strike w:val="0"/>
            <w:noProof w:val="0"/>
            <w:color w:val="0077CC"/>
            <w:position w:val="0"/>
            <w:sz w:val="20"/>
            <w:u w:val="single"/>
            <w:vertAlign w:val="baseline"/>
          </w:rPr>
          <w:t>http://www.ed.gov/programs/whitephysed/applicant.html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84.215F.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You must limit the application narrative to no more than 30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Double space is optional for the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the cover sheet; the budget section, including the narrative budget justification; the assurances and certifications; or the abstract, the resumes, the bibliography, or the letters of support. However, the page limit does apply to all of the application narrative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that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w:t>
      </w:r>
      <w:r>
        <w:rPr>
          <w:rFonts w:ascii="arial" w:eastAsia="arial" w:hAnsi="arial" w:cs="arial"/>
          <w:b/>
          <w:i w:val="0"/>
          <w:strike w:val="0"/>
          <w:noProof w:val="0"/>
          <w:color w:val="000000"/>
          <w:position w:val="0"/>
          <w:sz w:val="20"/>
          <w:u w:val="none"/>
          <w:vertAlign w:val="baseline"/>
        </w:rPr>
        <w:t> [*15095] </w:t>
      </w:r>
      <w:r>
        <w:rPr>
          <w:rFonts w:ascii="arial" w:eastAsia="arial" w:hAnsi="arial" w:cs="arial"/>
          <w:b w:val="0"/>
          <w:i w:val="0"/>
          <w:strike w:val="0"/>
          <w:noProof w:val="0"/>
          <w:color w:val="000000"/>
          <w:position w:val="0"/>
          <w:sz w:val="20"/>
          <w:u w:val="none"/>
          <w:vertAlign w:val="baseline"/>
        </w:rPr>
        <w:t xml:space="preserve">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in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Funds may not be used for construction activities or for extracurricular activities, such as team sports and Reserve Officers' Training Corps program activities (See section 5503(c)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5505(b) of the ESEA, not more than five percent of grant funds provided under this program to an LEA or CBO for any fiscal year may be used for administrative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Information about prohibited activities and use of funds also is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one-to-two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1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Carol M. White Physical Education Program, CFDA number 84.215F, must be submitted electronically using the Governmentwide Grants.gov Apply site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Carol M. White Physical Education Program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84.215, not 84.215F).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w:t>
      </w:r>
      <w:r>
        <w:rPr>
          <w:rFonts w:ascii="arial" w:eastAsia="arial" w:hAnsi="arial" w:cs="arial"/>
          <w:b/>
          <w:i w:val="0"/>
          <w:strike w:val="0"/>
          <w:noProof w:val="0"/>
          <w:color w:val="000000"/>
          <w:position w:val="0"/>
          <w:sz w:val="20"/>
          <w:u w:val="none"/>
          <w:vertAlign w:val="baseline"/>
        </w:rPr>
        <w:t> [*15096] </w:t>
      </w:r>
      <w:r>
        <w:rPr>
          <w:rFonts w:ascii="arial" w:eastAsia="arial" w:hAnsi="arial" w:cs="arial"/>
          <w:b w:val="0"/>
          <w:i w:val="0"/>
          <w:strike w:val="0"/>
          <w:noProof w:val="0"/>
          <w:color w:val="000000"/>
          <w:position w:val="0"/>
          <w:sz w:val="20"/>
          <w:u w:val="none"/>
          <w:vertAlign w:val="baseline"/>
        </w:rPr>
        <w:t xml:space="preserve">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2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either: Carlette KyserPegram, U.S. Department of Education, 400 Maryland Avenue SW., Room 3E256, Washington, DC 20202-6450. FAX: (202) 453-6742.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84.215F),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(or a courier service) may deliver your paper application to the Department by </w:t>
      </w:r>
      <w:r>
        <w:rPr>
          <w:rFonts w:ascii="arial" w:eastAsia="arial" w:hAnsi="arial" w:cs="arial"/>
          <w:b/>
          <w:i w:val="0"/>
          <w:strike w:val="0"/>
          <w:noProof w:val="0"/>
          <w:color w:val="000000"/>
          <w:position w:val="0"/>
          <w:sz w:val="20"/>
          <w:u w:val="none"/>
          <w:vertAlign w:val="baseline"/>
        </w:rPr>
        <w:t> [*15097] </w:t>
      </w:r>
      <w:r>
        <w:rPr>
          <w:rFonts w:ascii="arial" w:eastAsia="arial" w:hAnsi="arial" w:cs="arial"/>
          <w:b w:val="0"/>
          <w:i w:val="0"/>
          <w:strike w:val="0"/>
          <w:noProof w:val="0"/>
          <w:color w:val="000000"/>
          <w:position w:val="0"/>
          <w:sz w:val="20"/>
          <w:u w:val="none"/>
          <w:vertAlign w:val="baseline"/>
        </w:rPr>
        <w:t xml:space="preserve"> hand. You must deliver the original and two copies of your application by hand, on or before the application deadline date, to the Department at the following address: U.S. Department of Education, Application Control Center, Attention: (CFDA Number 84.215F),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 of EDGAR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Notice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2"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collecting data to use in assessing the effectiveness of PEP: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of students served by the grant who engage in 60 minutes of daily physical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students served by the grant who meet the standard of a healthy fitness zone as established by the assessment for the Presidential Youth Fitness Program (PYFP) in at least five of the six fitness areas of that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students served by the grant who consume fruit two or more times per day and vegetables three or more times per day as measured in programs serving high school students using the nutrition-related questions from the Youth Risk Behavior Survey and in programs serving elementary and middle school students using an appropriate assessment tool for their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measure, grantees should collect and aggregate data from two discrete data collection periods throughout each year. During the first year, grantees have an additional data collection period prior to program implementation to collect baseline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cost (based on the amount of the grant award) per student who achieves the level of physical activity required to meet the physical activity measure above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minutes of daily physical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constitute the Department's measures of success for this program. Consequently, applicants for a grant under this program are advised to give careful consideration to these measures in conceptualizing the approach and evaluation of their proposed project. If funded, applicants will be asked to collect and report data in their performance and final reports about progress toward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Carlette KyserPegram, U.S. Department of Education, 400 Maryland Avenue SW., Room 3E256, Washington, DC 20202-6450. Telephone: 202-453-6732 or by email: </w:t>
      </w:r>
      <w:hyperlink r:id="rId23" w:history="1">
        <w:r>
          <w:rPr>
            <w:rFonts w:ascii="arial" w:eastAsia="arial" w:hAnsi="arial" w:cs="arial"/>
            <w:b w:val="0"/>
            <w:i/>
            <w:strike w:val="0"/>
            <w:noProof w:val="0"/>
            <w:color w:val="0077CC"/>
            <w:position w:val="0"/>
            <w:sz w:val="20"/>
            <w:u w:val="single"/>
            <w:vertAlign w:val="baseline"/>
          </w:rPr>
          <w:t>Carlette.KyserPegram@ed.gov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15090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0BB-GY50-006W-82K4-00000-00&amp;context=" TargetMode="External" /><Relationship Id="rId11" Type="http://schemas.openxmlformats.org/officeDocument/2006/relationships/hyperlink" Target="https://advance.lexis.com/api/document?collection=administrative-codes&amp;id=urn:contentItem:5DT7-0130-006W-81YR-00000-00&amp;context=" TargetMode="External" /><Relationship Id="rId12" Type="http://schemas.openxmlformats.org/officeDocument/2006/relationships/hyperlink" Target="https://advance.lexis.com/api/document?collection=statutes-legislation&amp;id=urn:contentItem:4YF7-GHG1-NRF4-41J9-00000-00&amp;context=" TargetMode="External" /><Relationship Id="rId13" Type="http://schemas.openxmlformats.org/officeDocument/2006/relationships/hyperlink" Target="https://advance.lexis.com/api/document?collection=administrative-codes&amp;id=urn:contentItem:4MGC-WR30-006W-80MJ-00000-00&amp;context=" TargetMode="External" /><Relationship Id="rId14" Type="http://schemas.openxmlformats.org/officeDocument/2006/relationships/hyperlink" Target="http://www.ed.gov/programs/whitephysed/applicant.html" TargetMode="External" /><Relationship Id="rId15" Type="http://schemas.openxmlformats.org/officeDocument/2006/relationships/hyperlink" Target="http://www.EDPubs.gov" TargetMode="External" /><Relationship Id="rId16" Type="http://schemas.openxmlformats.org/officeDocument/2006/relationships/hyperlink" Target="mailto:edpubs@inet.ed.gov" TargetMode="External" /><Relationship Id="rId17" Type="http://schemas.openxmlformats.org/officeDocument/2006/relationships/hyperlink" Target="http://www.SAM.gov" TargetMode="External" /><Relationship Id="rId18" Type="http://schemas.openxmlformats.org/officeDocument/2006/relationships/hyperlink" Target="http://www2.ed.gov/fund/grant/apply/sam-faqs.html" TargetMode="External" /><Relationship Id="rId19" Type="http://schemas.openxmlformats.org/officeDocument/2006/relationships/hyperlink" Target="http://www.grants.gov/web/grants/register.html" TargetMode="External" /><Relationship Id="rId2" Type="http://schemas.openxmlformats.org/officeDocument/2006/relationships/webSettings" Target="webSettings.xml" /><Relationship Id="rId20" Type="http://schemas.openxmlformats.org/officeDocument/2006/relationships/hyperlink" Target="http://www.Grants.gov" TargetMode="External" /><Relationship Id="rId21" Type="http://schemas.openxmlformats.org/officeDocument/2006/relationships/hyperlink" Target="http://www.G5.gov" TargetMode="External" /><Relationship Id="rId22" Type="http://schemas.openxmlformats.org/officeDocument/2006/relationships/hyperlink" Target="http://www.ed.gov/fund/grant/apply/appforms/appforms.html" TargetMode="External" /><Relationship Id="rId23" Type="http://schemas.openxmlformats.org/officeDocument/2006/relationships/hyperlink" Target="mailto:Carlette.KyserPegram@ed.gov"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BV-NKY0-02SB-9029-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18896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71556686</vt:lpwstr>
  </property>
  <property fmtid="{D5CDD505-2E9C-101B-9397-08002B2CF9AE}" pid="3" name="LADocCount">
    <vt:lpwstr>1</vt:lpwstr>
  </property>
  <property fmtid="{D5CDD505-2E9C-101B-9397-08002B2CF9AE}" pid="4" name="UserPermID">
    <vt:lpwstr>urn:user:PA185916758</vt:lpwstr>
  </property>
</Properties>
</file>