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15363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055, Tuesday, March 22,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15363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March 22,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New York Stock Exchange LLC; Notice of Filing and Immediate Effectiveness of Proposed Rule Change Adopting a Decommission Extension Fee for Receipt of the NYSE BBO and NYSE Trades Market Data Products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34-77388; File No. SR-NYSE-2016-21]</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March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March 8, 2016, New York Stock Exchange LLC ("NYSE" or the "Exchange")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adopt a Decommission Extension Fee for receipt of the NYSE BBO and NYSE Trades market data products.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w:t>
      </w:r>
      <w:r>
        <w:rPr>
          <w:rFonts w:ascii="arial" w:eastAsia="arial" w:hAnsi="arial" w:cs="arial"/>
          <w:b/>
          <w:i w:val="0"/>
          <w:strike w:val="0"/>
          <w:noProof w:val="0"/>
          <w:color w:val="000000"/>
          <w:position w:val="0"/>
          <w:sz w:val="20"/>
          <w:u w:val="none"/>
          <w:vertAlign w:val="baseline"/>
        </w:rPr>
        <w:t> [*15364] </w:t>
      </w:r>
      <w:r>
        <w:rPr>
          <w:rFonts w:ascii="arial" w:eastAsia="arial" w:hAnsi="arial" w:cs="arial"/>
          <w:b w:val="0"/>
          <w:i w:val="0"/>
          <w:strike w:val="0"/>
          <w:noProof w:val="0"/>
          <w:color w:val="000000"/>
          <w:position w:val="0"/>
          <w:sz w:val="20"/>
          <w:u w:val="none"/>
          <w:vertAlign w:val="baseline"/>
        </w:rPr>
        <w:t xml:space="preserv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adopt a Decommission Extension Fee for receipt of the NYSE BBO and NYSE Trades market data products, n4 as set forth on the NYSE Proprietary Market Data Fee Schedule ("Fee Schedule"). Recipients of NYSE BBO and NYSE Trades would continue to be subject to the already existing subscription fees currently set forth in the Fee Schedule. The proposed Decommission Extension Fee would apply only to those subscribers who decide to continue to receive the NYSE BBO and NYSE Trades feeds in their legacy format for up to two months after those feeds otherwise will be distributed exclusively in the new format explained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61914 (Apr. 14, 2010), </w:t>
      </w:r>
      <w:hyperlink r:id="rId12" w:history="1">
        <w:r>
          <w:rPr>
            <w:rFonts w:ascii="arial" w:eastAsia="arial" w:hAnsi="arial" w:cs="arial"/>
            <w:b w:val="0"/>
            <w:i/>
            <w:strike w:val="0"/>
            <w:noProof w:val="0"/>
            <w:color w:val="0077CC"/>
            <w:position w:val="0"/>
            <w:sz w:val="20"/>
            <w:u w:val="single"/>
            <w:vertAlign w:val="baseline"/>
          </w:rPr>
          <w:t>74 FR 21077</w:t>
        </w:r>
      </w:hyperlink>
      <w:r>
        <w:rPr>
          <w:rFonts w:ascii="arial" w:eastAsia="arial" w:hAnsi="arial" w:cs="arial"/>
          <w:b w:val="0"/>
          <w:i w:val="0"/>
          <w:strike w:val="0"/>
          <w:noProof w:val="0"/>
          <w:color w:val="000000"/>
          <w:position w:val="0"/>
          <w:sz w:val="20"/>
          <w:u w:val="none"/>
          <w:vertAlign w:val="baseline"/>
        </w:rPr>
        <w:t xml:space="preserve"> (Apr. 22, 2010) (SR-NYSE-2010-30) (notice--NYSE BBO); 62181 (May 26, 2010), </w:t>
      </w:r>
      <w:hyperlink r:id="rId13" w:history="1">
        <w:r>
          <w:rPr>
            <w:rFonts w:ascii="arial" w:eastAsia="arial" w:hAnsi="arial" w:cs="arial"/>
            <w:b w:val="0"/>
            <w:i/>
            <w:strike w:val="0"/>
            <w:noProof w:val="0"/>
            <w:color w:val="0077CC"/>
            <w:position w:val="0"/>
            <w:sz w:val="20"/>
            <w:u w:val="single"/>
            <w:vertAlign w:val="baseline"/>
          </w:rPr>
          <w:t>75 FR 31488</w:t>
        </w:r>
      </w:hyperlink>
      <w:r>
        <w:rPr>
          <w:rFonts w:ascii="arial" w:eastAsia="arial" w:hAnsi="arial" w:cs="arial"/>
          <w:b w:val="0"/>
          <w:i w:val="0"/>
          <w:strike w:val="0"/>
          <w:noProof w:val="0"/>
          <w:color w:val="000000"/>
          <w:position w:val="0"/>
          <w:sz w:val="20"/>
          <w:u w:val="none"/>
          <w:vertAlign w:val="baseline"/>
        </w:rPr>
        <w:t xml:space="preserve"> (June 3, 2010) (SR-NYSE-2010-30) (approval order--NYSE BBO); 59309 (Jan. 28, 2009), </w:t>
      </w:r>
      <w:hyperlink r:id="rId14" w:history="1">
        <w:r>
          <w:rPr>
            <w:rFonts w:ascii="arial" w:eastAsia="arial" w:hAnsi="arial" w:cs="arial"/>
            <w:b w:val="0"/>
            <w:i/>
            <w:strike w:val="0"/>
            <w:noProof w:val="0"/>
            <w:color w:val="0077CC"/>
            <w:position w:val="0"/>
            <w:sz w:val="20"/>
            <w:u w:val="single"/>
            <w:vertAlign w:val="baseline"/>
          </w:rPr>
          <w:t>74 FR 6073</w:t>
        </w:r>
      </w:hyperlink>
      <w:r>
        <w:rPr>
          <w:rFonts w:ascii="arial" w:eastAsia="arial" w:hAnsi="arial" w:cs="arial"/>
          <w:b w:val="0"/>
          <w:i w:val="0"/>
          <w:strike w:val="0"/>
          <w:noProof w:val="0"/>
          <w:color w:val="000000"/>
          <w:position w:val="0"/>
          <w:sz w:val="20"/>
          <w:u w:val="none"/>
          <w:vertAlign w:val="baseline"/>
        </w:rPr>
        <w:t xml:space="preserve"> (Feb. 4, 2009) (SR-NYSE-2009-04) (notice--NYSE Trades); and 59309 (Mar. 19, 2009), </w:t>
      </w:r>
      <w:hyperlink r:id="rId15" w:history="1">
        <w:r>
          <w:rPr>
            <w:rFonts w:ascii="arial" w:eastAsia="arial" w:hAnsi="arial" w:cs="arial"/>
            <w:b w:val="0"/>
            <w:i/>
            <w:strike w:val="0"/>
            <w:noProof w:val="0"/>
            <w:color w:val="0077CC"/>
            <w:position w:val="0"/>
            <w:sz w:val="20"/>
            <w:u w:val="single"/>
            <w:vertAlign w:val="baseline"/>
          </w:rPr>
          <w:t>74 FR 13293</w:t>
        </w:r>
      </w:hyperlink>
      <w:r>
        <w:rPr>
          <w:rFonts w:ascii="arial" w:eastAsia="arial" w:hAnsi="arial" w:cs="arial"/>
          <w:b w:val="0"/>
          <w:i w:val="0"/>
          <w:strike w:val="0"/>
          <w:noProof w:val="0"/>
          <w:color w:val="000000"/>
          <w:position w:val="0"/>
          <w:sz w:val="20"/>
          <w:u w:val="none"/>
          <w:vertAlign w:val="baseline"/>
        </w:rPr>
        <w:t xml:space="preserve"> (Mar. 26, 2009) (approval order--NYSE Trades) (SR-NYSE-2009-04) and 62038 (May 5, 2010), </w:t>
      </w:r>
      <w:hyperlink r:id="rId16" w:history="1">
        <w:r>
          <w:rPr>
            <w:rFonts w:ascii="arial" w:eastAsia="arial" w:hAnsi="arial" w:cs="arial"/>
            <w:b w:val="0"/>
            <w:i/>
            <w:strike w:val="0"/>
            <w:noProof w:val="0"/>
            <w:color w:val="0077CC"/>
            <w:position w:val="0"/>
            <w:sz w:val="20"/>
            <w:u w:val="single"/>
            <w:vertAlign w:val="baseline"/>
          </w:rPr>
          <w:t>75 FR 26825</w:t>
        </w:r>
      </w:hyperlink>
      <w:r>
        <w:rPr>
          <w:rFonts w:ascii="arial" w:eastAsia="arial" w:hAnsi="arial" w:cs="arial"/>
          <w:b w:val="0"/>
          <w:i w:val="0"/>
          <w:strike w:val="0"/>
          <w:noProof w:val="0"/>
          <w:color w:val="000000"/>
          <w:position w:val="0"/>
          <w:sz w:val="20"/>
          <w:u w:val="none"/>
          <w:vertAlign w:val="baseline"/>
        </w:rPr>
        <w:t xml:space="preserve"> (May 12, 2010) (SR-NYSE-2010-22).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NYSE Trades is an NYSE-only last sale market data feed. NYSE Trades currently allows vendors, broker-dealers and others to make available on a real-time basis the same last sale information that the Exchange reports under the Consolidated Tape Association ("CTA") Plan for inclusion in the CTA Plan's consolidated data streams. Specifically, the NYSE Trades feed includes, for each security traded on the Exchange, the real-time last sale price, time and size information and bid/ask quotations at the time of each sale and a stock summary message. The stock summary message updates every minute and includes NYSE's opening price, high price, low price, closing price, and cumulative volume for the security.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NYSE BBO is an NYSE-only market data feed that allows a vendor to redistribute on a real-time basis the same best-bid-and-offer information that the Exchange reports under the Consolidated Quotation ("CQ") Plan for inclusion in the CQ Plan's consolidated quotation information data stream. The data feed includes the best bids and offers for all securities that are traded on the Exchange and for which NYSE reports quotes under the CQ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Exchange's efforts to regularly upgrade systems to support more modern data distribution formats and protocols as technology evolves, beginning March 1, 2016, NYSE BBO and NYSE Trades will both be transmitted in a new format, Exchange Data Protocol (XDP). Beginning March 1, 2016, the Exchange will transmit NYSE BBO and NYSE Trades in both the legacy format and in XDP without any additional fee being charged for providing these data feeds in both formats. The dual dissemination will remain in place until July 1, 2016, the planned decommission date of the legacy format. Beginning July 1, 2016, recipients of NYSE BBO and NYSE Trades who wish to continue to receive NYSE BBO and NYSE Trades in the legacy format will each be subject to the proposed Decommission Extension Fee of $ 5,000 per month. During the extension period, recipients of NYSE BBO and NYSE Trades would continue to be subject to the subscription fees currently noted in the Fee Schedule. The extension period for receiving these data feeds in the legacy format will expire on September 1, 2016, on which date distribution of NYSE BBO and NYSE Trades in the legacy format will be permanently discontinued.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n6 in general, and Sections 6(b)(4) and 6(b)(5) of the Act, n7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7"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7"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adopting an extension fee for subscribers of NYSE BBO and NYSE Trades who wish to receive these data feeds in the legacy format for a period of time beyond the built-in overlap period is reasonable, equitable and not unfairly discriminatory because the proposed fee would apply equally to all data recipients that currently subscribe to NYSE BBO and NYSE Trades. The Exchange believes that it is reasonable to require data recipients to pay an additional fee for taking the data feeds in the legacy format beyond the period of time specifically allotted by the Exchange for data feed customers to adapt to the new XDP format at no extra cost. To that end, the extension fee is designed to encourage data recipients to migrate to the XDP format in order to continue to receive NYSE BBO and NYSE Trades in XDP as the legacy format would no longer be available after that date. The Exchange does not intend to support the legacy format at all after September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BBO and NYSE Trades are entirely optional. The Exchange is not required to make NYSE BBO and NYSE Trades available or to offer any specific pricing alternatives to any customers, nor is any firm required to purchase NYSE BBO and NYSE Trades, nor is the Exchange required to offer any feed (NYSE BBO, NYSE Trades, or otherwise) in a particular format, and it is a benefit to the markets generally that NYSE update its distribution technology to make it more efficient (and at the same time eliminate less efficient forms of dissemination). Firms that do purchase NYSE BBO and NYSE Trades do so for the primary goals of using them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BBO and NYSE Trades or any other similar products are attractively priced or not.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Proposing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Securities Exchange Act Release No. 76474 (Nov. 18, 2015) (File No. S7-23-15).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"Brokers Warned Not to Steer Clients' Stock Trades Into Slow Lane," Bloomberg Business, December 14, 2015 (Sigma X dark pool to use direct exchange feeds as the primary source of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18"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w:t>
      </w:r>
      <w:r>
        <w:rPr>
          <w:rFonts w:ascii="arial" w:eastAsia="arial" w:hAnsi="arial" w:cs="arial"/>
          <w:b/>
          <w:i w:val="0"/>
          <w:strike w:val="0"/>
          <w:noProof w:val="0"/>
          <w:color w:val="000000"/>
          <w:position w:val="0"/>
          <w:sz w:val="20"/>
          <w:u w:val="none"/>
          <w:vertAlign w:val="baseline"/>
        </w:rPr>
        <w:t> [*15365] </w:t>
      </w:r>
      <w:r>
        <w:rPr>
          <w:rFonts w:ascii="arial" w:eastAsia="arial" w:hAnsi="arial" w:cs="arial"/>
          <w:b w:val="0"/>
          <w:i w:val="0"/>
          <w:strike w:val="0"/>
          <w:noProof w:val="0"/>
          <w:color w:val="000000"/>
          <w:position w:val="0"/>
          <w:sz w:val="20"/>
          <w:u w:val="none"/>
          <w:vertAlign w:val="baseline"/>
        </w:rPr>
        <w:t xml:space="preserve">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18"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8"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 legacy format, such as converting to XDP as soon as possible,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19"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Finally, the prices set herein are prices for continuing to support distribution formats the Exchange has elected to retire in favor of new and more efficient distribution formats, making cost-based analyses even less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 (and in this instance, the ability of any firm to switch to the new distribution format in a time frame that eliminates the need to pay these fees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Complaint in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Deutsche Borse AG and NYSE Euronext,</w:t>
      </w:r>
      <w:r>
        <w:rPr>
          <w:rFonts w:ascii="arial" w:eastAsia="arial" w:hAnsi="arial" w:cs="arial"/>
          <w:b w:val="0"/>
          <w:i w:val="0"/>
          <w:strike w:val="0"/>
          <w:noProof w:val="0"/>
          <w:color w:val="000000"/>
          <w:position w:val="0"/>
          <w:sz w:val="20"/>
          <w:u w:val="none"/>
          <w:vertAlign w:val="baseline"/>
        </w:rPr>
        <w:t xml:space="preserve">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n12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Concept Release on Equity Market Structure, Securities Exchange Act Release No. 61358 (Jan. 14, 2010), </w:t>
      </w:r>
      <w:hyperlink r:id="rId21"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1"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w:t>
      </w:r>
      <w:r>
        <w:rPr>
          <w:rFonts w:ascii="arial" w:eastAsia="arial" w:hAnsi="arial" w:cs="arial"/>
          <w:b/>
          <w:i w:val="0"/>
          <w:strike w:val="0"/>
          <w:noProof w:val="0"/>
          <w:color w:val="000000"/>
          <w:position w:val="0"/>
          <w:sz w:val="20"/>
          <w:u w:val="none"/>
          <w:vertAlign w:val="baseline"/>
        </w:rPr>
        <w:t> [*15366] </w:t>
      </w:r>
      <w:r>
        <w:rPr>
          <w:rFonts w:ascii="arial" w:eastAsia="arial" w:hAnsi="arial" w:cs="arial"/>
          <w:b w:val="0"/>
          <w:i w:val="0"/>
          <w:strike w:val="0"/>
          <w:noProof w:val="0"/>
          <w:color w:val="000000"/>
          <w:position w:val="0"/>
          <w:sz w:val="20"/>
          <w:u w:val="none"/>
          <w:vertAlign w:val="baseline"/>
        </w:rPr>
        <w:t xml:space="preserv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BBO or NYSE Trades in the legacy format unless their customers request it, and customers will not elect to pay the proposed fees unless NYSE BBO and NYSE Trades can provide value in the legacy formats by sufficiently increasing revenues or reducing costs in the customer's business in a manner that will offset the fees. The Exchange has provided customers with adequate notice that it intends to discontinue dissemination of the data feeds in the legacy format. Therefore, the proposed Decommission Extension Fee would only be applicable to those customers who have a need or desire to continue to take the data feeds in the legacy format beyond the period provided for migration to the XDP format. Customers who timely migrate to the XDP format to receive the data feeds would not need to receive the data feeds in the legacy format and therefore would not be subject to the Decommission Extension Fee at all.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n14 of the Act and subparagraph (f)(2) of Rule 19b-4 n15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n16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4"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SR-NYSE-2016-21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SR-NYSE-2016-22. This file number should be included on the subject line if email is used. To help the Commission process and review your comments more efficiently, please use only one method. The Commission will post all comments on the Commission's Internet Web site (</w:t>
      </w:r>
      <w:hyperlink r:id="rId2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SR-NYSE-2016-21 and should be submitted on or before April 12,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25"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2016-06408 Filed 3-21-16;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15363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http://www.nyse.com" TargetMode="External" /><Relationship Id="rId12" Type="http://schemas.openxmlformats.org/officeDocument/2006/relationships/hyperlink" Target="https://advance.lexis.com/api/document?collection=administrative-codes&amp;id=urn:contentItem:4W7B-GGX0-006W-83N6-00000-00&amp;context=" TargetMode="External" /><Relationship Id="rId13" Type="http://schemas.openxmlformats.org/officeDocument/2006/relationships/hyperlink" Target="https://advance.lexis.com/api/document?collection=administrative-codes&amp;id=urn:contentItem:5074-YWG0-006W-80R7-00000-00&amp;context=" TargetMode="External" /><Relationship Id="rId14" Type="http://schemas.openxmlformats.org/officeDocument/2006/relationships/hyperlink" Target="https://advance.lexis.com/api/document?collection=administrative-codes&amp;id=urn:contentItem:4VHY-JW10-006W-83P9-00000-00&amp;context=" TargetMode="External" /><Relationship Id="rId15" Type="http://schemas.openxmlformats.org/officeDocument/2006/relationships/hyperlink" Target="https://advance.lexis.com/api/document?collection=administrative-codes&amp;id=urn:contentItem:4VXK-W250-006W-8443-00000-00&amp;context=" TargetMode="External" /><Relationship Id="rId16" Type="http://schemas.openxmlformats.org/officeDocument/2006/relationships/hyperlink" Target="https://advance.lexis.com/api/document?collection=administrative-codes&amp;id=urn:contentItem:502G-30S0-006W-83D6-00000-00&amp;context=" TargetMode="External" /><Relationship Id="rId17" Type="http://schemas.openxmlformats.org/officeDocument/2006/relationships/hyperlink" Target="https://advance.lexis.com/api/document?collection=statutes-legislation&amp;id=urn:contentItem:4YF7-GPC1-NRF4-4309-00000-00&amp;context=" TargetMode="External" /><Relationship Id="rId18" Type="http://schemas.openxmlformats.org/officeDocument/2006/relationships/hyperlink" Target="https://advance.lexis.com/api/document?collection=cases&amp;id=urn:contentItem:803V-DT30-YB0V-T01B-00000-00&amp;context=" TargetMode="External" /><Relationship Id="rId19" Type="http://schemas.openxmlformats.org/officeDocument/2006/relationships/hyperlink" Target="http://www.sec.gov/rules/concept/s72899/buck1.htm" TargetMode="External" /><Relationship Id="rId2" Type="http://schemas.openxmlformats.org/officeDocument/2006/relationships/webSettings" Target="webSettings.xml" /><Relationship Id="rId20" Type="http://schemas.openxmlformats.org/officeDocument/2006/relationships/hyperlink" Target="http://www.justice.gov/iso/opa/atr/speeches/2011/at-speech-110516.html" TargetMode="External" /><Relationship Id="rId21" Type="http://schemas.openxmlformats.org/officeDocument/2006/relationships/hyperlink" Target="https://advance.lexis.com/api/document?collection=administrative-codes&amp;id=urn:contentItem:4Y6T-4FW0-006W-80SB-00000-00&amp;context=" TargetMode="External" /><Relationship Id="rId22" Type="http://schemas.openxmlformats.org/officeDocument/2006/relationships/hyperlink" Target="https://www.arcavision.com/Arcavision/arcalogin.jsp" TargetMode="External" /><Relationship Id="rId23" Type="http://schemas.openxmlformats.org/officeDocument/2006/relationships/hyperlink" Target="http://www.sec.gov/rules/sro.shtml" TargetMode="External" /><Relationship Id="rId24" Type="http://schemas.openxmlformats.org/officeDocument/2006/relationships/hyperlink" Target="mailto:rule-comments@sec.gov" TargetMode="External" /><Relationship Id="rId25" Type="http://schemas.openxmlformats.org/officeDocument/2006/relationships/hyperlink" Target="https://advance.lexis.com/api/document?collection=administrative-codes&amp;id=urn:contentItem:5SPP-2120-008G-Y2ND-00000-00&amp;context=" TargetMode="Externa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C1-6N90-006W-80WR-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10232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71343462</vt:lpwstr>
  </property>
  <property fmtid="{D5CDD505-2E9C-101B-9397-08002B2CF9AE}" pid="3" name="LADocCount">
    <vt:lpwstr>1</vt:lpwstr>
  </property>
  <property fmtid="{D5CDD505-2E9C-101B-9397-08002B2CF9AE}" pid="4" name="UserPermID">
    <vt:lpwstr>urn:user:PA185916758</vt:lpwstr>
  </property>
</Properties>
</file>