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15836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057, Part III, Thursday, March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15836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Commercial Packaged Boilers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EERE-2013-BT-STD-0030]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1904-AD01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equipment and certain commercial and industrial equipment, including commercial packaged boilers. EPCA also requires the U.S. Department of Energy (DOE) to periodically determine whether more stringent standards would be technologically feasible and economically justified, and would save a significant amount of energy. DOE has tentatively concluded that more stringent standards are technologically feasible and economically justified, and would result in significant additional conservation of energy. Therefore, DOE proposes amended energy conservation standards for commercial packaged boilers. This document also announces a public meeting to receive comment on the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w:t>
      </w:r>
      <w:r>
        <w:rPr>
          <w:rFonts w:ascii="arial" w:eastAsia="arial" w:hAnsi="arial" w:cs="arial"/>
          <w:b/>
          <w:i w:val="0"/>
          <w:strike w:val="0"/>
          <w:noProof w:val="0"/>
          <w:color w:val="000000"/>
          <w:position w:val="0"/>
          <w:sz w:val="20"/>
          <w:u w:val="none"/>
          <w:vertAlign w:val="baseline"/>
        </w:rPr>
        <w:t> [*15837]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Scope of Coverage and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Overall Methodology and Extrapolation of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Large CPB Analysis and Representative Fuel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Data Collection and Categorization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Baseline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Intermediate and Max-Tech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Incremental Price and Price-Efficiency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Energy Use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Building Sample Selection and Sizing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Miscellaneous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Per-Unit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 and Energy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No-New-Standards-Case Market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Payback Period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Rebuttable-Presumption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Efficiency in the No-New-Standards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of Consumer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Total Annual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Total Annual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Condensing Boilers Not Appropriate for Many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Not Many American Companies Produce Condensing Heat Exchangers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Reduced Product Durability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Impacts on Condensing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Approaches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Trial Standard Levels Considered for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Benefits and Costs (Annualized)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C n1 of the Energy Policy and Conservation Act of 1975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"EPCA"),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2"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establishes the Energy Conservation Program for Certain Industrial Equipment. n2 These include commercial packaged boilers ("CPB"), the subject of this document. (</w:t>
      </w:r>
      <w:hyperlink r:id="rId10" w:history="1">
        <w:r>
          <w:rPr>
            <w:rFonts w:ascii="arial" w:eastAsia="arial" w:hAnsi="arial" w:cs="arial"/>
            <w:b w:val="0"/>
            <w:i/>
            <w:strike w:val="0"/>
            <w:noProof w:val="0"/>
            <w:color w:val="0077CC"/>
            <w:position w:val="0"/>
            <w:sz w:val="20"/>
            <w:u w:val="single"/>
            <w:vertAlign w:val="baseline"/>
          </w:rPr>
          <w:t>42 U.S.C. 6311(1)(J)</w:t>
        </w:r>
      </w:hyperlink>
      <w:r>
        <w:rPr>
          <w:rFonts w:ascii="arial" w:eastAsia="arial" w:hAnsi="arial" w:cs="arial"/>
          <w:b w:val="0"/>
          <w:i w:val="0"/>
          <w:strike w:val="0"/>
          <w:noProof w:val="0"/>
          <w:color w:val="000000"/>
          <w:position w:val="0"/>
          <w:sz w:val="20"/>
          <w:u w:val="none"/>
          <w:vertAlign w:val="baseline"/>
        </w:rPr>
        <w:t>) Commercial packaged boilers are also covered under the American Society of Heating, Refrigerating, and Air-Conditioning Engineers (ASHRAE) Standard 90.1 (ASHRAE Standard 90.1), "Energy Standard for Buildings Except Low-Rise Residential Buildings."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ASHRAE Standard 90.1-2013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most recent version of ASHRAE Standard 90.1) did not amend the efficiency levels for commercial packaged boilers. Thus, DOE is undertaking this rulemaking under the 6-year review requirement in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as opposed to the statutory provision regarding ASHRAE equipment (</w:t>
      </w:r>
      <w:hyperlink r:id="rId13"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more information on DOE's review of ASHRAE Standard 90.1-2013, see: </w:t>
      </w:r>
      <w:hyperlink r:id="rId14" w:history="1">
        <w:r>
          <w:rPr>
            <w:rFonts w:ascii="arial" w:eastAsia="arial" w:hAnsi="arial" w:cs="arial"/>
            <w:b w:val="0"/>
            <w:i/>
            <w:strike w:val="0"/>
            <w:noProof w:val="0"/>
            <w:color w:val="0077CC"/>
            <w:position w:val="0"/>
            <w:sz w:val="20"/>
            <w:u w:val="single"/>
            <w:vertAlign w:val="baseline"/>
          </w:rPr>
          <w:t>http://www1.eere.energy.gov/buildings/appliance_standards/rulemaking.aspx?ruleid=108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conduct an evaluation of its standards for CPB equipment every 6 years and to publish either a notice of determination that such standards do not need to be amended or a NOPR including proposed amended standards. (</w:t>
      </w:r>
      <w:hyperlink r:id="rId13"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EPCA further requires that any new or amended energy conservation standards that DOE prescribes for covered equipment shall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Furthermore, the new or amended standard must result in a significant additional conservation of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applicable statutory provisions, DOE must determine that there is clear and convincing evidence supporting the adoption of more stringent energy conservation standards than the ASHRAE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complete, this </w:t>
      </w:r>
      <w:r>
        <w:rPr>
          <w:rFonts w:ascii="arial" w:eastAsia="arial" w:hAnsi="arial" w:cs="arial"/>
          <w:b/>
          <w:i w:val="0"/>
          <w:strike w:val="0"/>
          <w:noProof w:val="0"/>
          <w:color w:val="000000"/>
          <w:position w:val="0"/>
          <w:sz w:val="20"/>
          <w:u w:val="none"/>
          <w:vertAlign w:val="baseline"/>
        </w:rPr>
        <w:t> [*15838] </w:t>
      </w:r>
      <w:r>
        <w:rPr>
          <w:rFonts w:ascii="arial" w:eastAsia="arial" w:hAnsi="arial" w:cs="arial"/>
          <w:b w:val="0"/>
          <w:i w:val="0"/>
          <w:strike w:val="0"/>
          <w:noProof w:val="0"/>
          <w:color w:val="000000"/>
          <w:position w:val="0"/>
          <w:sz w:val="20"/>
          <w:u w:val="none"/>
          <w:vertAlign w:val="baseline"/>
        </w:rPr>
        <w:t xml:space="preserve"> rulemaking will satisfy DOE's statutory obligation under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these and other statutory requirements discussed in this document, DOE initiated this rulemaking to evaluate CPB energy conservation standards and to determine whether new or amended standards are warranted. DOE has examined the existing CPB standards and has tentatively concluded that modifying and expanding the existing 10 CPB equipment classes to 12 equipment classes is warranted. As discussed in detail in section IV.A.2 of this document, DOE proposes to: (1) Discontinue the use of draft type as a criteria for equipment classes; and (2) establish separate equipment classes for "very large" commercial packaged boilers. Eliminating the use of draft type as a distinguishing feature for equipment classes would consolidate the 4 existing draft-specific equipment classes into 2 non-draft-specific equipment classes. Further, the proposed change to distinguish very large CPB as separate equipment classes would result in an additional 4 equipment classes. As a result, the total number of equipment classes would increase from 10 to 12. DOE has tentatively concluded that there is clear and convincing evidence to support more stringent standards for 8 of the 12 equipment classes proposed in this NOPR, which includes all classes except for the newly proposed very large CPB classes. The proposed standards, which prescribe minimum thermal efficiencies (E[T]) or combustion efficiencies (E[C]), are shown in Table I.1. These proposed standards, if adopted, would apply to the applicable equipment classes listed in Table I.1 and manufactured in, or imported into, the United States on and after the date 3 years after the publication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Commercial Packaged</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category</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energy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 EC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 EC+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 2012.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Commercial</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 EC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 EC+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 2012.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Commercial</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 2012.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publication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 Btu/h</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 Btu/h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 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 2012.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160" w:type="dxa"/>
            <w:tcBorders>
              <w:bottom w:val="nil"/>
              <w:right w:val="nil"/>
            </w:tcBorders>
          </w:tcPr>
          <w:p/>
        </w:tc>
        <w:tc>
          <w:tcPr>
            <w:tcW w:w="24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160" w:type="dxa"/>
            <w:tcBorders>
              <w:right w:val="nil"/>
            </w:tcBorders>
          </w:tcPr>
          <w:p/>
        </w:tc>
        <w:tc>
          <w:tcPr>
            <w:tcW w:w="240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 means "thermal efficiency." EC means "combustion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Prior to March 2, 2022, for natural draft very large gas-fired steam commercial packaged boilers, a minimum thermal efficiency level of 77% is permitted and meets Federal commercial packaged boiler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very large CPB equipment classes DOE proposes to retain the existing standards for such equipment, which had a compliance date of March 2, 2012, as shown.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proposed energy conservation standards on consumers of commercial packaged boilers, as measured by the average life-cycle cost (LCC) savings and the simple payback period (PBP). n4 The average LCC savings are positive for all equipment classes, and the PBP is less than the average lifetime of the equipment, which is estimated to be 24.8 years for all equipment classes evaluated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are measured relative to the no-new-standards case efficiency distribution, which depicts the CPB market in the compliance year in the absence of amended standard levels (see section IV.F.9 of this document and chapter 8 of the NOPR technical support document (TSD)). The simple PBP, which is designed to compare specific efficiency levels for commercial packaged boilers, is measured relative to the baseline CPB equipment (see section IV.F.10 of this document and chapter 8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Packaged Boilers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document and in chapter 8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(2014 to 2048). Using a real discount rate of 9.5 percent, DOE estimates that the INPV for manufacturers of commercial packaged boilers is $ 180.1 million in 2014$ . Under the proposed standards, DOE expects that INPV may reduce by $ 23.8 to $ 13.1 million, which is approximately 13.2 to 7.3 percent respectively. Under today's proposed standard, DOE expects the industry to incur $ 27.5 million in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National Benefits and Costs</w:t>
      </w:r>
      <w:r>
        <w:rPr>
          <w:rFonts w:ascii="arial" w:eastAsia="arial" w:hAnsi="arial" w:cs="arial"/>
          <w:b w:val="0"/>
          <w:i w:val="0"/>
          <w:strike w:val="0"/>
          <w:noProof w:val="0"/>
          <w:color w:val="000000"/>
          <w:position w:val="0"/>
          <w:sz w:val="20"/>
          <w:u w:val="none"/>
          <w:vertAlign w:val="baseline"/>
        </w:rPr>
        <w:t xml:space="preserv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All monetary values in this section are expressed in 2014 dollars and, where appropriate, are discounted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standards would save a significant amount of energy. The lifetime energy savings for commercial packaged boilers purchased in the 30-year period that begins in the anticipated first full year of compliance with amended standards (2019-2048), relative to the case without amended standards (referred to as the "no-new-standards case"), amount to 0.39 quadrillion Btu (quads). n6 This represents a savings of 0.8 percent relative to the energy use of this equipment in the no-new-standards case.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quad is equal to 10&lt;15&gt; British thermal units (Btu). The quantity refers to full-fuel-cycle (FFC) energy savings. FFC energy savings include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 a more complete picture of the impacts of energy efficiency standards. For more information on the FFC metric, see section IV.H.1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no-new-standards case assumptions are described in section IV.F.9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commercial packaged boilers ranges from $ 0.414 billion (at a 7-percent discount rate) to $ 1.687 billion (at a 3-percent discount rate). This NPV expresses the estimated total value of future operating-cost savings minus the estimated increased equipment and installation costs for commercial packaged boilers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CPB standards would have significant environmental benefits. The energy savings described in this section are estimated to result in cumulative emission reductions (over the same period as for energy savings) of 22 million metric tons (Mt) n8 of carbon dioxide (CO[2]), 233 thousand tons of methane (CH[4]), 2.1 thousand tons of sulfur dioxide (SO[2]), 162 thousand tons of nitrogen oxides (NO[X]), 0.1 thousand tons of nitrous oxide (N[2] O), and 0.0003 tons of mercury (Hg). n9 The cumulative reduction in CO[2] emissions through 2030 amounts to 2.86 Mt, which is equivalent to the emissions resulting from the annual electricity use of 0.393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 metric ton is equivalent to 1.1 short tons. Results for emissions other than CO[2] are presented in short tons (ton).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n10 The derivation of the SCC values is discussed in section IV.L of this document. Using discount rates appropriate for each set of SCC values (see Table I.3), DOE estimates the present monetary value of the CO[2] emissions reduction is between $ 0.14 billion and $ 2.0 billion, with a value of $ 0.66 billion using the central SCC case represented by $ 40.0 per metric ton in 2015. n11 DOE also estimates the present monetary value of the NO[X] emissions reduction is $ 0.16 billion at a 7-percent discount rate and $ 0.45 billion at a 3-percent discount rate. n12 More detailed results can be found in chapter 14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Techincal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5"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values only include CO[2] emissions; CO[2] equivalent emissions from other greenhouse gases are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DOE estimated the monetized value of NO[X] emissions reductions using benefits per ton estimates from the Regulatory Impact Analysis titled, "Proposed Carbon Pollution Guidelines for Existing Power Plants and Emission Standards for Modified and Reconstructed Power Plants," published in June 2014 by EPA's Office of Air Quality Planning Standards. (Available at </w:t>
      </w:r>
      <w:r>
        <w:rPr>
          <w:rFonts w:ascii="arial" w:eastAsia="arial" w:hAnsi="arial" w:cs="arial"/>
          <w:b w:val="0"/>
          <w:i/>
          <w:strike w:val="0"/>
          <w:noProof w:val="0"/>
          <w:color w:val="000000"/>
          <w:position w:val="0"/>
          <w:sz w:val="20"/>
          <w:u w:val="none"/>
          <w:vertAlign w:val="baseline"/>
        </w:rPr>
        <w:t>www3.epa.gov/ttnecas1/regdata/RIAs/111dproposalRIAfinal10602.pdf.</w:t>
      </w:r>
      <w:r>
        <w:rPr>
          <w:rFonts w:ascii="arial" w:eastAsia="arial" w:hAnsi="arial" w:cs="arial"/>
          <w:b w:val="0"/>
          <w:i w:val="0"/>
          <w:strike w:val="0"/>
          <w:noProof w:val="0"/>
          <w:color w:val="000000"/>
          <w:position w:val="0"/>
          <w:sz w:val="20"/>
          <w:u w:val="none"/>
          <w:vertAlign w:val="baseline"/>
        </w:rPr>
        <w:t xml:space="preserve">) See section IV.L.2 for further discussion. Note that the agency is presenting a national benefit-per-ton estimate for particulate matter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 Because of the sensitivity of the benefit-per-ton estimate to the geographical considerations of sources and receptors of emissions by assessing the regional approach taken by EPA's Regulatory Impact Analysis of the Clean Power Plan Final Rule. Note the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I.3 summarizes the national economic benefits and costs expected to result from the proposed standards for commercial packaged boilers. </w:t>
      </w:r>
      <w:r>
        <w:rPr>
          <w:rFonts w:ascii="arial" w:eastAsia="arial" w:hAnsi="arial" w:cs="arial"/>
          <w:b/>
          <w:i w:val="0"/>
          <w:strike w:val="0"/>
          <w:noProof w:val="0"/>
          <w:color w:val="000000"/>
          <w:position w:val="0"/>
          <w:sz w:val="20"/>
          <w:u w:val="none"/>
          <w:vertAlign w:val="baseline"/>
        </w:rPr>
        <w:t> [*15840]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Commercial Packaged Boilers (TSL 2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3%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2.5%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 percentile SCC at 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commercial packaged boilers shipped in 2019-2048. These results include benefits to consumers that accrue after 2048 from the equipment purchased in 2019-2048. The incremental installed costs include incremental equipment cost as well as installation costs. The CO2 reduction benefits are global benefits due to actions that occur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of the SCC distribution calculated using SCC estimate across all three models at a 3-percent discount rate, is included to represent higher-than-expected impacts from temperature change further out in the tails of the SCC distribution. The SCC values are emission year specific. See section IV.L.1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www3.epa.gov/ttnecas1/regdata/RIAs/111dproposalRIAfinal0602.pdf.)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presented using only the average SCC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this NOPR's proposed energy conservation standards, for covered commercial packaged boilers sold in 2019-2048, can also be expressed in terms of annualized values. The monetary values for the total annualized net benefits are the sum of: (1) The annualized national economic value of the benefits from consumer operation of the equipment that meets the proposed standards (consisting primarily of reduced operating costs minus increases in product purchase price and installation costs); and (2) the annualized value of the benefits of CO[2] and NO[X] emission reductions.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I.4.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savings are domestic private U.S. consumer monetary savings that occur as a result of purchasing these equipment. The national operating cost savings is measured for the lifetime of commercial packaged boilers shipped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CO[2] reduction is a benefit that accrues globally due to decreased domestic energy consumption that is expected to result from this proposed rule. Because CO[2] emissions have a very long residence time in the atmosphere, n14 the SCC values in future years reflect future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atmospheric lifetime of CO[2] is estimated to be on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has a value of $ 40.0 per metric ton in 2015, the cost of the standards proposed in this rulemaking is $ 51 million per year in increased equipment costs, while the benefits are $ 91 million per year in reduced equipment operating costs, $ 37 million in CO[2] reductions, and $ 16 million in reduced NO[X] emissions. In </w:t>
      </w:r>
      <w:r>
        <w:rPr>
          <w:rFonts w:ascii="arial" w:eastAsia="arial" w:hAnsi="arial" w:cs="arial"/>
          <w:b/>
          <w:i w:val="0"/>
          <w:strike w:val="0"/>
          <w:noProof w:val="0"/>
          <w:color w:val="000000"/>
          <w:position w:val="0"/>
          <w:sz w:val="20"/>
          <w:u w:val="none"/>
          <w:vertAlign w:val="baseline"/>
        </w:rPr>
        <w:t> [*15841] </w:t>
      </w:r>
      <w:r>
        <w:rPr>
          <w:rFonts w:ascii="arial" w:eastAsia="arial" w:hAnsi="arial" w:cs="arial"/>
          <w:b w:val="0"/>
          <w:i w:val="0"/>
          <w:strike w:val="0"/>
          <w:noProof w:val="0"/>
          <w:color w:val="000000"/>
          <w:position w:val="0"/>
          <w:sz w:val="20"/>
          <w:u w:val="none"/>
          <w:vertAlign w:val="baseline"/>
        </w:rPr>
        <w:t xml:space="preserve"> this case, the net benefit amounts to $ 93 million per year. Using a 3-percent discount rate for all benefits and costs and the average SCC series that has a value of $ 40.0 per metric ton in 2015, the estimated cost of the CPB standards proposed in this rulemaking is $ 48 million per year in increased equipment costs, while the benefits are $ 142 million per year in reduced operating costs, $ 37 million in CO[2] reductions, and $ 25 million in reduced NO[X] emissions. In this case, the net benefit amounts to $ 156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Commercial Packaged Boilers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 to 218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 to 203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 to 258.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 to 278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 to 256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to 338.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149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to 210.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to 230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to 205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 to 293.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commercial packaged boilers shipped in 2019-2048. These results include benefits to consumers that accrue after 2048 from the equipment purchased in 2019-2048. The incremental installed costs include incremental equipment cost as well as installation costs. The CO2 reduction benefits are global benefits due to actions that occur nationally. The Primary, Low Benefits, and High Benefits Estimates utilize projections of building stock and energy prices from the AEO2015 Reference case, Low Economic Growth case, and High Economic Growth case, respectively. In addition, DOE used a constant equipment price assumption as the default price projection; the cost to manufacture a given unit of higher efficiency neither increases nor decreases over time. The equipment price projection is described in section IV.F.1 of this document and chapter 8 of the 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of the SCC distribution calculated using SCC estimate across all three models at a 3-percent discount rate, is included to represent higher-than-expected impacts from temperature change further out in the tails of the SCC distribution. The SCC values are emission year specific. See section IV.L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www3.epa.gov/ttnecas1/regdata/RIAs/111dproposalRIAfinal0602.pdf.)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presented using only the average SCC with a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clear and convincing evidence, DOE has tentatively concluded that the proposed standards represent the maximum improvement in energy efficiency that is technologically feasible and economically justified, and would result in the significant conservation of energy. DOE further notes that equipment achieving these standard levels is already commercially available for at least some, if not most, equipment classes covered by this </w:t>
      </w:r>
      <w:r>
        <w:rPr>
          <w:rFonts w:ascii="arial" w:eastAsia="arial" w:hAnsi="arial" w:cs="arial"/>
          <w:b/>
          <w:i w:val="0"/>
          <w:strike w:val="0"/>
          <w:noProof w:val="0"/>
          <w:color w:val="000000"/>
          <w:position w:val="0"/>
          <w:sz w:val="20"/>
          <w:u w:val="none"/>
          <w:vertAlign w:val="baseline"/>
        </w:rPr>
        <w:t> [*15842] </w:t>
      </w:r>
      <w:r>
        <w:rPr>
          <w:rFonts w:ascii="arial" w:eastAsia="arial" w:hAnsi="arial" w:cs="arial"/>
          <w:b w:val="0"/>
          <w:i w:val="0"/>
          <w:strike w:val="0"/>
          <w:noProof w:val="0"/>
          <w:color w:val="000000"/>
          <w:position w:val="0"/>
          <w:sz w:val="20"/>
          <w:u w:val="none"/>
          <w:vertAlign w:val="baseline"/>
        </w:rPr>
        <w:t xml:space="preserve"> proposal. n15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See chapter 3 of the NOPR TSD for information about the efficiency ratings of equipment currently available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 stringent energy efficiency levels as potential standards, and is considering them in this rulemaking. However, DOE has tentatively concluded that the potential burdens of the more stringent energy efficiency levels would outweigh the projected benefits. Based on consideration of the public comments that DOE receives in response to this document and related information collected and analyzed during the course of this rulemaking effort, DOE may adopt energy efficiency levels presented in this document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proposal, as well as some of the relevant historical background related to the establishment of standards for commercial packaged boilers.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n16 of the Energy Policy and Conservation Act of 1975 ("EPCA" or "the Act"),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2"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xml:space="preserve">, Title IV, section 441(a), sets forth a variety of provisions designed to improve energy efficiency. n17 It established the "Energy Conservation Program for Certain Industrial Equipment," which includes commercial packaged boilers that are the subject of this rulemaking. The energy conservation standards for commercial packaged boilers are codified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 E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For editorial reasons, upon codification in the United States Code (U.S.C.),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ASHRAE Standard 90.1, "Energy Standard for Buildings Except Low-Rise Residential Buildings," sets industry energy efficiency levels for small, large, and very large commercial package air-conditioning and heating equipment, packaged terminal air conditioners, packaged terminal heat pumps, warm air furnaces, packaged boilers, storage water heaters, instantaneous water heaters, and unfired hot water storage tanks (collectively "ASHRAE equipment"). n18 EPCA directs DOE to consider amending the existing Federal energy conservation standard for each type of covered ASHRAE equipment whenever ASHRAE amends the efficiency levels in Standard 90.1. (</w:t>
      </w:r>
      <w:hyperlink r:id="rId13"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For each type of listed equipment, EPCA directs that if ASHRAE amends Standard 90.1, DOE must adopt amended standards at the new ASHRAE efficiency level, unless clear and convincing evidence supports a determination that adoption of a more stringent level would produce significant additional energy savings and would be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If DOE decides to adopt as a national standard the efficiency levels specified in the amended ASHRAE Standard 90.1, DOE must establish such standard not later than 18 months after publication of the amended industry standard. (</w:t>
      </w:r>
      <w:hyperlink r:id="rId13"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However, if DOE determines that a more stringent standard is justified, then it must establish such more stringent standard not later than 30 months after publication of the amended ASHRAE Standard 90.1. (</w:t>
      </w:r>
      <w:hyperlink r:id="rId13" w:history="1">
        <w:r>
          <w:rPr>
            <w:rFonts w:ascii="arial" w:eastAsia="arial" w:hAnsi="arial" w:cs="arial"/>
            <w:b w:val="0"/>
            <w:i/>
            <w:strike w:val="0"/>
            <w:noProof w:val="0"/>
            <w:color w:val="0077CC"/>
            <w:position w:val="0"/>
            <w:sz w:val="20"/>
            <w:u w:val="single"/>
            <w:vertAlign w:val="baseline"/>
          </w:rPr>
          <w:t>42 U.S.C. 6313(a)(6)(B)(i)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For more information, see </w:t>
      </w:r>
      <w:hyperlink r:id="rId16" w:history="1">
        <w:r>
          <w:rPr>
            <w:rFonts w:ascii="arial" w:eastAsia="arial" w:hAnsi="arial" w:cs="arial"/>
            <w:b w:val="0"/>
            <w:i/>
            <w:strike w:val="0"/>
            <w:noProof w:val="0"/>
            <w:color w:val="0077CC"/>
            <w:position w:val="0"/>
            <w:sz w:val="20"/>
            <w:u w:val="single"/>
            <w:vertAlign w:val="baseline"/>
          </w:rPr>
          <w:t>www.ashrae.org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ASHRAE does not act to amend Standard 90.1, EPCA provides an alternative statutory mechanism for initiating such review. More specifically, EPCA requires that every six years, the Secretary of Energy (Secretary) shall consider amending the energy conservation standards for covered commercial equipment and shall publish either a notice of determination that those standards do not need to be amended, or a notice of proposed rulemaking for more stringent energy efficiency standards.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compliance certification and enforcement procedures. Subject to certain criteria and conditions, DOE has authority, as discussed above, to adopt amended energy conservation standards for commercial packaged boilers. In addition, DOE is required to develop test procedures to measure the energy efficiency, energy use, or estimated annual operating cost of covered equipment.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comply with the applicable energy conservation standards adopted under EPCA and when making representations to the public regarding the energy use or efficiency of such equipment. (</w:t>
      </w:r>
      <w:hyperlink r:id="rId17" w:history="1">
        <w:r>
          <w:rPr>
            <w:rFonts w:ascii="arial" w:eastAsia="arial" w:hAnsi="arial" w:cs="arial"/>
            <w:b w:val="0"/>
            <w:i/>
            <w:strike w:val="0"/>
            <w:noProof w:val="0"/>
            <w:color w:val="0077CC"/>
            <w:position w:val="0"/>
            <w:sz w:val="20"/>
            <w:u w:val="single"/>
            <w:vertAlign w:val="baseline"/>
          </w:rPr>
          <w:t>42 U.S.C. 6314(d)(1)</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equipment comply with standards adopted pursuant to EPCA. The DOE test procedures for commercial packaged boilers currently appear at </w:t>
      </w:r>
      <w:hyperlink r:id="rId18" w:history="1">
        <w:r>
          <w:rPr>
            <w:rFonts w:ascii="arial" w:eastAsia="arial" w:hAnsi="arial" w:cs="arial"/>
            <w:b w:val="0"/>
            <w:i/>
            <w:strike w:val="0"/>
            <w:noProof w:val="0"/>
            <w:color w:val="0077CC"/>
            <w:position w:val="0"/>
            <w:sz w:val="20"/>
            <w:u w:val="single"/>
            <w:vertAlign w:val="baseline"/>
          </w:rPr>
          <w:t>10 CFR 431.86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setting standards for the ASHRAE equipment addressed by this document, EPCA, as amended, prescribes certain statutory criteria for DOE to consider. See generally </w:t>
      </w:r>
      <w:hyperlink r:id="rId13"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-(D). Any amended standard for covered equipment more stringent than the level contained in ASHRAE Standard 90.1 must be designed to achieve significant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(C)(i)) Furthermore, DOE may not adopt a more stringent standard that would not result in the significant additional conservation of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deciding whether a proposed standard is economically justified, DOE must determine whether the benefits of the standard exceed its burdens. DOE must make this determination after receiving comments on the proposed standard, and by considering, to the maximum extent practicable, the following seven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equipment which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in writing by the Attorney General, that is likely to result from the standard; </w:t>
      </w:r>
      <w:r>
        <w:rPr>
          <w:rFonts w:ascii="arial" w:eastAsia="arial" w:hAnsi="arial" w:cs="arial"/>
          <w:b/>
          <w:i w:val="0"/>
          <w:strike w:val="0"/>
          <w:noProof w:val="0"/>
          <w:color w:val="000000"/>
          <w:position w:val="0"/>
          <w:sz w:val="20"/>
          <w:u w:val="none"/>
          <w:vertAlign w:val="baseline"/>
        </w:rPr>
        <w:t> [*15843]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certain criteria and conditions, DOE is required to develop test procedures to measure the energy efficiency, energy use, or estimated annual operating cost of covered equipment. (</w:t>
      </w:r>
      <w:hyperlink r:id="rId17"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Specifically, EPCA requires that if a test procedure referenced in ASHRAE Standard 90.1 is updated, DOE must update its test procedure to be consistent with the amended test procedure in ASHRAE Standard 90.1, unless DOE determines that the amended test procedure is not reasonably designed to produce test results that reflect the energy efficiency, energy use, or estimated operating costs of the ASHRAE equipment during a representative average use cycle. In addition, DOE must determine that the amended test procedure is not unduly burdensome to conduct.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and (4)) Manufacturers of covered equipment must use the prescribed DOE test procedure as the basis for certifying to DOE that their equipment complies with the applicable energy conservation standards adopted under EPCA and when making representations to the public regarding the energy use or efficiency of such equipment. (</w:t>
      </w:r>
      <w:hyperlink r:id="rId17"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equipment complies with standards adopted pursuant to EPCA. The DOE test procedure for commercial packaged boilers currently appear at </w:t>
      </w:r>
      <w:hyperlink r:id="rId18" w:history="1">
        <w:r>
          <w:rPr>
            <w:rFonts w:ascii="arial" w:eastAsia="arial" w:hAnsi="arial" w:cs="arial"/>
            <w:b w:val="0"/>
            <w:i/>
            <w:strike w:val="0"/>
            <w:noProof w:val="0"/>
            <w:color w:val="0077CC"/>
            <w:position w:val="0"/>
            <w:sz w:val="20"/>
            <w:u w:val="single"/>
            <w:vertAlign w:val="baseline"/>
          </w:rPr>
          <w:t>10 CFR 431.86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3"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xml:space="preserve"> and (C)(i)) Furthermore,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at the time of the Secretary's finding. (</w:t>
      </w:r>
      <w:hyperlink r:id="rId13" w:history="1">
        <w:r>
          <w:rPr>
            <w:rFonts w:ascii="arial" w:eastAsia="arial" w:hAnsi="arial" w:cs="arial"/>
            <w:b w:val="0"/>
            <w:i/>
            <w:strike w:val="0"/>
            <w:noProof w:val="0"/>
            <w:color w:val="0077CC"/>
            <w:position w:val="0"/>
            <w:sz w:val="20"/>
            <w:u w:val="single"/>
            <w:vertAlign w:val="baseline"/>
          </w:rPr>
          <w:t>42 U.S.C. 6313(a)(6)(B)(iii)(II)(aa)</w:t>
        </w:r>
      </w:hyperlink>
      <w:r>
        <w:rPr>
          <w:rFonts w:ascii="arial" w:eastAsia="arial" w:hAnsi="arial" w:cs="arial"/>
          <w:b w:val="0"/>
          <w:i w:val="0"/>
          <w:strike w:val="0"/>
          <w:noProof w:val="0"/>
          <w:color w:val="000000"/>
          <w:position w:val="0"/>
          <w:sz w:val="20"/>
          <w:u w:val="none"/>
          <w:vertAlign w:val="baseline"/>
        </w:rPr>
        <w:t xml:space="preserve"> and (C)(i))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applicable test procedure. For this rulemaking, DOE considered the criteria for rebuttable presumption as part of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when a type or class of covered equipment has two or more subcategories, DOE often specifies more than one standard level. DOE generally will adopt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that other products within such type (or class) do not have and which justifies a higher or lower standard. In determining whether a performance-related feature justifies a different standard for a group of products, DOE generally considers such factors as the utility to the consumer of the feature and other factors DOE deems appropriate. In a rule prescribing such a standard, DOE includes an explanation of the basis on which such higher or lower level was established. DOE considered these criteria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ASHRAE did not update its efficiency levels for commercial packaged boilers in any of its most recent updates to ASHRAE Standard 90.1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Standard 90.1-2010 and ASHRAE Standard 90.1-2013), DOE is analyzing amended standards consistent with the procedures defined under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Specifically, pursuant to </w:t>
      </w:r>
      <w:hyperlink r:id="rId13" w:history="1">
        <w:r>
          <w:rPr>
            <w:rFonts w:ascii="arial" w:eastAsia="arial" w:hAnsi="arial" w:cs="arial"/>
            <w:b w:val="0"/>
            <w:i/>
            <w:strike w:val="0"/>
            <w:noProof w:val="0"/>
            <w:color w:val="0077CC"/>
            <w:position w:val="0"/>
            <w:sz w:val="20"/>
            <w:u w:val="single"/>
            <w:vertAlign w:val="baseline"/>
          </w:rPr>
          <w:t>42 U.S.C. 6313(a)(6)(C)(i)(II)</w:t>
        </w:r>
      </w:hyperlink>
      <w:r>
        <w:rPr>
          <w:rFonts w:ascii="arial" w:eastAsia="arial" w:hAnsi="arial" w:cs="arial"/>
          <w:b w:val="0"/>
          <w:i w:val="0"/>
          <w:strike w:val="0"/>
          <w:noProof w:val="0"/>
          <w:color w:val="000000"/>
          <w:position w:val="0"/>
          <w:sz w:val="20"/>
          <w:u w:val="none"/>
          <w:vertAlign w:val="baseline"/>
        </w:rPr>
        <w:t>, DOE must use the procedures established under subparagraph (B) when issuing a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reviewing all commercial packaged boiler equipment classes, DOE has tentatively concluded that there is clear and convincing evidence that the proposed amended standards for eight of the twelve proposed commercial packaged boiler equipment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commercial packaged boilers with fuel input rate &lt;/= 10,000 kBtu/h) would result in significant additional conservation of energy and would be technologically feasible and economically justified, as mandated by </w:t>
      </w:r>
      <w:hyperlink r:id="rId13"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four equipment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commercial packaged boilers with fuel input rate &gt;10,000 kBtu/h) DOE proposes to maintain the existing standards because there is not sufficient data to provide clear and convincing evidence that more stringent standards would be technologically feasible and economically justified, and would result in significant additional energy savings.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amended its energy conservation standards for commercial packaged boilers through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22, 2009 (July 2009 final rule). </w:t>
      </w:r>
      <w:hyperlink r:id="rId19" w:history="1">
        <w:r>
          <w:rPr>
            <w:rFonts w:ascii="arial" w:eastAsia="arial" w:hAnsi="arial" w:cs="arial"/>
            <w:b w:val="0"/>
            <w:i/>
            <w:strike w:val="0"/>
            <w:noProof w:val="0"/>
            <w:color w:val="0077CC"/>
            <w:position w:val="0"/>
            <w:sz w:val="20"/>
            <w:u w:val="single"/>
            <w:vertAlign w:val="baseline"/>
          </w:rPr>
          <w:t>74 FR 36312.</w:t>
        </w:r>
      </w:hyperlink>
      <w:r>
        <w:rPr>
          <w:rFonts w:ascii="arial" w:eastAsia="arial" w:hAnsi="arial" w:cs="arial"/>
          <w:b w:val="0"/>
          <w:i w:val="0"/>
          <w:strike w:val="0"/>
          <w:noProof w:val="0"/>
          <w:color w:val="000000"/>
          <w:position w:val="0"/>
          <w:sz w:val="20"/>
          <w:u w:val="none"/>
          <w:vertAlign w:val="baseline"/>
        </w:rPr>
        <w:t xml:space="preserve"> More specifically, the July 2009 final rule updated the energy conservation standards for commercial packaged boilers to correspond to the levels in the 2007 revision of ASHRAE Standard 90.1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Standard 90.1-2007). Compliance with the amended standards was required beginning on March 2, 2012. These levels are shown in Table II.1. Also in the July 2009 final rule, DOE again followed ASHRAE's approach in Standard 90.1-2007 and adopted a second tier of energy conservation standards for two classes of commercial packaged boilers, which are shown in Table II.2. Compliance with the latter standards will be required beginning on March 2, 2022.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280"/>
        <w:gridCol w:w="18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II.1--Federal Energy Efficiency Standards for Commercial Packaged</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Manufactured on or after March 2, 2012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category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level--effective date: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March 2, 2012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 EC.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 EC.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Natural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Natural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Gas-fired--Natural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Gas-fired--Natural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right w:val="nil"/>
            </w:tcBorders>
          </w:tcPr>
          <w:p/>
        </w:tc>
        <w:tc>
          <w:tcPr>
            <w:tcW w:w="18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 means "thermal efficiency." EC means "combustion efficiency."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280"/>
        <w:gridCol w:w="18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II.2--Federal Energy Efficiency Standards for Commercial Packaged</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Manufactured on or after March 2, 2022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category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level--effective date: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March 2, 2022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Gas-fired--Natural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Gas-fired--Natural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 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8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right w:val="nil"/>
            </w:tcBorders>
          </w:tcPr>
          <w:p/>
        </w:tc>
        <w:tc>
          <w:tcPr>
            <w:tcW w:w="18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Commercial Packaged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conducting this rulemaking pursuant to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which requires that every six years, DOE must publish either: (1) A notice of the determination that standards for the equipment do not need to be amended, or (2) a NOPR including proposed energy conservation standards. As noted above, DOE's last final rule for commercial packaged boilers was published on July 22, 2009, so as a result, DOE is required to act to publish one of the above two documents within 6 years. Once completed, this rulemaking will satisfy DOE's statutory obligation under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DOE must publish a final rule not later than two years after this NOPR is issued. (</w:t>
      </w:r>
      <w:hyperlink r:id="rId13" w:history="1">
        <w:r>
          <w:rPr>
            <w:rFonts w:ascii="arial" w:eastAsia="arial" w:hAnsi="arial" w:cs="arial"/>
            <w:b w:val="0"/>
            <w:i/>
            <w:strike w:val="0"/>
            <w:noProof w:val="0"/>
            <w:color w:val="0077CC"/>
            <w:position w:val="0"/>
            <w:sz w:val="20"/>
            <w:u w:val="single"/>
            <w:vertAlign w:val="baseline"/>
          </w:rPr>
          <w:t>42 U.S.C. 6313(a)(6)(C)(iii)(I)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initiating this rulemaking, DOE prepared a Framework document, "Energy Conservation Standards Rulemaking Framework Document for Commercial Packaged Boilers," which describes the procedural and analytical approaches DOE anticipated using to evaluate energy conservation standards for commercial packaged boilers. DOE published a notice that announced both the availability of the Framework document and a public meeting to discuss the proposed analytical framework for the rulemaking. That notice also invited written comments from the public. </w:t>
      </w:r>
      <w:hyperlink r:id="rId20" w:history="1">
        <w:r>
          <w:rPr>
            <w:rFonts w:ascii="arial" w:eastAsia="arial" w:hAnsi="arial" w:cs="arial"/>
            <w:b w:val="0"/>
            <w:i/>
            <w:strike w:val="0"/>
            <w:noProof w:val="0"/>
            <w:color w:val="0077CC"/>
            <w:position w:val="0"/>
            <w:sz w:val="20"/>
            <w:u w:val="single"/>
            <w:vertAlign w:val="baseline"/>
          </w:rPr>
          <w:t>78 FR 54197</w:t>
        </w:r>
      </w:hyperlink>
      <w:r>
        <w:rPr>
          <w:rFonts w:ascii="arial" w:eastAsia="arial" w:hAnsi="arial" w:cs="arial"/>
          <w:b w:val="0"/>
          <w:i w:val="0"/>
          <w:strike w:val="0"/>
          <w:noProof w:val="0"/>
          <w:color w:val="000000"/>
          <w:position w:val="0"/>
          <w:sz w:val="20"/>
          <w:u w:val="none"/>
          <w:vertAlign w:val="baseline"/>
        </w:rPr>
        <w:t xml:space="preserve"> (Sept. 3, 2013). The Framework document is available at: </w:t>
      </w:r>
      <w:hyperlink r:id="rId21" w:history="1">
        <w:r>
          <w:rPr>
            <w:rFonts w:ascii="arial" w:eastAsia="arial" w:hAnsi="arial" w:cs="arial"/>
            <w:b w:val="0"/>
            <w:i/>
            <w:strike w:val="0"/>
            <w:noProof w:val="0"/>
            <w:color w:val="0077CC"/>
            <w:position w:val="0"/>
            <w:sz w:val="20"/>
            <w:u w:val="single"/>
            <w:vertAlign w:val="baseline"/>
          </w:rPr>
          <w:t>http://www1.eere.energy.gov/buildings/appliance_standards/rulemaking.aspx/ruleid/79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a public meeting on October 1, 2013, at which it described the various analyses DOE would conduct as part of the rulemaking, such as the engineering analysis, the life-cycle cost (LCC) and payback period (PBP) analyses, and the national impact analysis (NIA). Representatives of manufacturers, trade associations, environmental and energy efficiency advocates, and other interested parties attended the meeting. The participants discussed the following major topics, among others: (1) The rulemaking scope (2) test procedures for commercial packaged boilers; and (3) various issues related to the planned analyses of amended energy conservation standards. Interested parties also provided comments on the Framework document, which DOE considered and responded to in chapter 2 of the preliminary analysis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20, 2014, DOE published a second notice, "Energy Conservation Standards for Commercial Packaged Boilers: Public Meeting and Availability of the Preliminary Technical Support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availability of the preliminary analysis technical support document. </w:t>
      </w:r>
      <w:hyperlink r:id="rId22" w:history="1">
        <w:r>
          <w:rPr>
            <w:rFonts w:ascii="arial" w:eastAsia="arial" w:hAnsi="arial" w:cs="arial"/>
            <w:b w:val="0"/>
            <w:i/>
            <w:strike w:val="0"/>
            <w:noProof w:val="0"/>
            <w:color w:val="0077CC"/>
            <w:position w:val="0"/>
            <w:sz w:val="20"/>
            <w:u w:val="single"/>
            <w:vertAlign w:val="baseline"/>
          </w:rPr>
          <w:t>79 FR 69066.</w:t>
        </w:r>
      </w:hyperlink>
      <w:r>
        <w:rPr>
          <w:rFonts w:ascii="arial" w:eastAsia="arial" w:hAnsi="arial" w:cs="arial"/>
          <w:b w:val="0"/>
          <w:i w:val="0"/>
          <w:strike w:val="0"/>
          <w:noProof w:val="0"/>
          <w:color w:val="000000"/>
          <w:position w:val="0"/>
          <w:sz w:val="20"/>
          <w:u w:val="none"/>
          <w:vertAlign w:val="baseline"/>
        </w:rPr>
        <w:t xml:space="preserve"> The preliminary analysis technical support document (TSD) provided preliminary results of the analyses that DOE conducted in support of the energy conservation standards rulemaking. DOE invited interested parties to comment on the preliminary analysis, and requested public comments on specific issues related to the TSD. These issues are listed in the Executive Summary chapter of the preliminary TSD. The preliminary TSD is available at: </w:t>
      </w:r>
      <w:hyperlink r:id="rId21" w:history="1">
        <w:r>
          <w:rPr>
            <w:rFonts w:ascii="arial" w:eastAsia="arial" w:hAnsi="arial" w:cs="arial"/>
            <w:b w:val="0"/>
            <w:i/>
            <w:strike w:val="0"/>
            <w:noProof w:val="0"/>
            <w:color w:val="0077CC"/>
            <w:position w:val="0"/>
            <w:sz w:val="20"/>
            <w:u w:val="single"/>
            <w:vertAlign w:val="baseline"/>
          </w:rPr>
          <w:t>http://www1.eere.energy.gov/buildings/appliance_standards/rulemaking.aspx/ruleid/79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9, 2014, DOE held a public meeting, at which it described the methodology and preliminary results of the various analyses it conducted as part of the rulemaking, such as the engineering analysis, the LCC and PBP analyses, and the NIA. Representatives of manufacturers, trade associations, environmental and energy efficiency advocates, and other interested parties attended the meeting. The public meeting provided an opportunity for the attendees to provide feedback and comments that would help improve DOE's analysis and results for the NOPR stage. In addition, DOE also received several written comments from interested parties and stakeholders, in response to the preliminary analysis TSD. Parties providing comments are shown in Table II.3. DOE considered the comments and feedback for the updating the analysis in preparation of </w:t>
      </w:r>
      <w:r>
        <w:rPr>
          <w:rFonts w:ascii="arial" w:eastAsia="arial" w:hAnsi="arial" w:cs="arial"/>
          <w:b/>
          <w:i w:val="0"/>
          <w:strike w:val="0"/>
          <w:noProof w:val="0"/>
          <w:color w:val="000000"/>
          <w:position w:val="0"/>
          <w:sz w:val="20"/>
          <w:u w:val="none"/>
          <w:vertAlign w:val="baseline"/>
        </w:rPr>
        <w:t> [*15845] </w:t>
      </w:r>
      <w:r>
        <w:rPr>
          <w:rFonts w:ascii="arial" w:eastAsia="arial" w:hAnsi="arial" w:cs="arial"/>
          <w:b w:val="0"/>
          <w:i w:val="0"/>
          <w:strike w:val="0"/>
          <w:noProof w:val="0"/>
          <w:color w:val="000000"/>
          <w:position w:val="0"/>
          <w:sz w:val="20"/>
          <w:u w:val="none"/>
          <w:vertAlign w:val="baseline"/>
        </w:rPr>
        <w:t xml:space="preserve"> this document. Relevant comments and DOE's responses are provided in section III and section IV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920"/>
        <w:gridCol w:w="19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II.3--Parties That Provided Comments on the Preliminary Analysis TSD</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of party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Heating and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Institute</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Boiler Manufacturers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ABMA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Energy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ACEEE, ASAP &amp;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Economy, Appliance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Awareness Project,</w:t>
            </w:r>
          </w:p>
        </w:tc>
        <w:tc>
          <w:tcPr>
            <w:tcW w:w="1920" w:type="dxa"/>
            <w:tcBorders>
              <w:bottom w:val="nil"/>
              <w:right w:val="nil"/>
            </w:tcBorders>
          </w:tcP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Resource Defense</w:t>
            </w:r>
          </w:p>
        </w:tc>
        <w:tc>
          <w:tcPr>
            <w:tcW w:w="1920" w:type="dxa"/>
            <w:tcBorders>
              <w:bottom w:val="nil"/>
              <w:right w:val="nil"/>
            </w:tcBorders>
          </w:tcP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1920" w:type="dxa"/>
            <w:tcBorders>
              <w:bottom w:val="nil"/>
              <w:right w:val="nil"/>
            </w:tcBorders>
          </w:tcP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Energy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ACEEE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Economy</w:t>
            </w:r>
          </w:p>
        </w:tc>
        <w:tc>
          <w:tcPr>
            <w:tcW w:w="1920" w:type="dxa"/>
            <w:tcBorders>
              <w:bottom w:val="nil"/>
              <w:right w:val="nil"/>
            </w:tcBorders>
          </w:tcP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Lochinvar, LLC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Lochinvar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Raypak, Inc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Raypak</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PVI Industries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PVI</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Plumbing, Heating and Cooling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PHCC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920" w:type="dxa"/>
            <w:tcBorders>
              <w:bottom w:val="nil"/>
              <w:right w:val="nil"/>
            </w:tcBorders>
          </w:tcP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1920" w:type="dxa"/>
            <w:tcBorders>
              <w:bottom w:val="nil"/>
              <w:right w:val="nil"/>
            </w:tcBorders>
          </w:tcPr>
          <w:p/>
        </w:tc>
        <w:tc>
          <w:tcPr>
            <w:tcW w:w="19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&amp; Electric,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PGE &amp; SCE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Edison</w:t>
            </w:r>
          </w:p>
        </w:tc>
        <w:tc>
          <w:tcPr>
            <w:tcW w:w="1920" w:type="dxa"/>
            <w:tcBorders>
              <w:right w:val="nil"/>
            </w:tcBorders>
          </w:tcPr>
          <w:p/>
        </w:tc>
        <w:tc>
          <w:tcPr>
            <w:tcW w:w="19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TA: Trade Association; EA: Efficiency/Environmental Advocate; M: Manufacturer; C: Contractor; U: Utility.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parallel to the energy conservation standards rulemaking, DOE published a notice of proposed determination on August 13, 2013 (August 2013 NOPD), which initiated a coverage determination to explicitly clarify DOE's statutory authority under EPCA to cover natural draft commercial packaged boilers. DOE initiated this coverage determination because the existing definition of "packaged boiler" could have allowed for differing interpretations as to whether natural draft commercial packaged boilers are covered equipment. </w:t>
      </w:r>
      <w:hyperlink r:id="rId23" w:history="1">
        <w:r>
          <w:rPr>
            <w:rFonts w:ascii="arial" w:eastAsia="arial" w:hAnsi="arial" w:cs="arial"/>
            <w:b w:val="0"/>
            <w:i/>
            <w:strike w:val="0"/>
            <w:noProof w:val="0"/>
            <w:color w:val="0077CC"/>
            <w:position w:val="0"/>
            <w:sz w:val="20"/>
            <w:u w:val="single"/>
            <w:vertAlign w:val="baseline"/>
          </w:rPr>
          <w:t>78 FR 49202.</w:t>
        </w:r>
      </w:hyperlink>
      <w:r>
        <w:rPr>
          <w:rFonts w:ascii="arial" w:eastAsia="arial" w:hAnsi="arial" w:cs="arial"/>
          <w:b w:val="0"/>
          <w:i w:val="0"/>
          <w:strike w:val="0"/>
          <w:noProof w:val="0"/>
          <w:color w:val="000000"/>
          <w:position w:val="0"/>
          <w:sz w:val="20"/>
          <w:u w:val="none"/>
          <w:vertAlign w:val="baseline"/>
        </w:rPr>
        <w:t xml:space="preserve"> In the August 2013 NOPD, DOE proposed a definition for natural draft commercial packaged boilers that would clarify its statutory authority to cover such equipment. DOE sought public comments in response to its proposed determination and definition for natural draft commercial packaged boilers, and received several written comments from interested parties. In addition, DOE also received several comments in response to the preliminary analysis TSD that are relevant to the issue of coverage determination of natural draft commercial packaged boilers. n19 After carefully reviewing all of the comments received on the issue of coverage determination of natural draft commercial packaged boilers and determining that the comments indicated a common and long-standing understanding from interested parties that natural draft commercial packaged boilers are and have been covered equipment under part A-1 of Title III of EPCA, DOE decided to withdraw the August 2013 NOPD on August 25, 2015 (August 2015 withdrawal notice). </w:t>
      </w:r>
      <w:hyperlink r:id="rId24" w:history="1">
        <w:r>
          <w:rPr>
            <w:rFonts w:ascii="arial" w:eastAsia="arial" w:hAnsi="arial" w:cs="arial"/>
            <w:b w:val="0"/>
            <w:i/>
            <w:strike w:val="0"/>
            <w:noProof w:val="0"/>
            <w:color w:val="0077CC"/>
            <w:position w:val="0"/>
            <w:sz w:val="20"/>
            <w:u w:val="single"/>
            <w:vertAlign w:val="baseline"/>
          </w:rPr>
          <w:t>80 FR 51487.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Comments with regards to the coverage determination of natural draft CPB from both the 2013 NOPD and the preliminary analysis TSD are discussed in detail in the 2015 withdrawal notice </w:t>
      </w:r>
      <w:hyperlink r:id="rId24" w:history="1">
        <w:r>
          <w:rPr>
            <w:rFonts w:ascii="arial" w:eastAsia="arial" w:hAnsi="arial" w:cs="arial"/>
            <w:b w:val="0"/>
            <w:i/>
            <w:strike w:val="0"/>
            <w:noProof w:val="0"/>
            <w:color w:val="0077CC"/>
            <w:position w:val="0"/>
            <w:sz w:val="20"/>
            <w:u w:val="single"/>
            <w:vertAlign w:val="baseline"/>
          </w:rPr>
          <w:t>(80 FR 51487).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DOE is also currently conducting a separate test procedure rulemaking to consider an amended test procedure for commercial packaged boilers. On February 20, 2014, DOE published a request for information (RFI)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sought comments and information from stakeholders on several issues pertaining to the CPB test procedure. </w:t>
      </w:r>
      <w:hyperlink r:id="rId25" w:history="1">
        <w:r>
          <w:rPr>
            <w:rFonts w:ascii="arial" w:eastAsia="arial" w:hAnsi="arial" w:cs="arial"/>
            <w:b w:val="0"/>
            <w:i/>
            <w:strike w:val="0"/>
            <w:noProof w:val="0"/>
            <w:color w:val="0077CC"/>
            <w:position w:val="0"/>
            <w:sz w:val="20"/>
            <w:u w:val="single"/>
            <w:vertAlign w:val="baseline"/>
          </w:rPr>
          <w:t>79 FR 9643.</w:t>
        </w:r>
      </w:hyperlink>
      <w:r>
        <w:rPr>
          <w:rFonts w:ascii="arial" w:eastAsia="arial" w:hAnsi="arial" w:cs="arial"/>
          <w:b w:val="0"/>
          <w:i w:val="0"/>
          <w:strike w:val="0"/>
          <w:noProof w:val="0"/>
          <w:color w:val="000000"/>
          <w:position w:val="0"/>
          <w:sz w:val="20"/>
          <w:u w:val="none"/>
          <w:vertAlign w:val="baseline"/>
        </w:rPr>
        <w:t xml:space="preserve"> On February 22, 2016, DOE issued a NOPR, which proposed to update the test procedure for determining the efficiency of commercial packaged boilers (February 2016 test procedure NOPR). n20 Through the proposed test procedure, DOE has sought to addresses some of the issues raised by DOE in the RFI and by interested parties in their comments. Section III.B of this document briefly discusses the changes proposed to the current test procedure and the potential impact on the energy conservation standards. n21 The analyses conducted for this NOPR reflect the changes proposed in the February 2016 test procedure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 link to the February 2016 test procedure NOPR issued by DOE can be found at: </w:t>
      </w:r>
      <w:hyperlink r:id="rId26" w:history="1">
        <w:r>
          <w:rPr>
            <w:rFonts w:ascii="arial" w:eastAsia="arial" w:hAnsi="arial" w:cs="arial"/>
            <w:b w:val="0"/>
            <w:i/>
            <w:strike w:val="0"/>
            <w:noProof w:val="0"/>
            <w:color w:val="0077CC"/>
            <w:position w:val="0"/>
            <w:sz w:val="20"/>
            <w:u w:val="single"/>
            <w:vertAlign w:val="baseline"/>
          </w:rPr>
          <w:t>http://energy.gov/eere/buildings/downloads/issuance-2016-02-22-energy-conservation-program-certain-commercial-and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For detailed discussion on the test procedure including the comments and DOE's response please see the docket no. EERE-2014-BT-TP-0006. The docket can also be accessed using the following link: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;D=EERE-2014-BT-TP-0006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3"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EPCA prescribes a number of compliance dates for any resulting amended standards for commercial packaged boilers. These compliance dates vary depending on specific statutory authority under which DOE is conducting its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DOE is triggered by a revision to ASHRAE Standard 90.1 or whether DOE is undertaking a 6-year review), and the action taken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DOE is adopting ASHRAE Standard 90.1 levels or more stringent levels). The discussion that follows explains the potential compliance dates as they pertain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 of this document, EPCA requires that at least once every 6 years, DOE must review standards for commercial packaged boilers and publish either a notice of determination that standards for this type of equipment do not need to be amended or a NOPR for any equipment for which more than 6 years has elapsed since the issuance of the most recent final rule. (</w:t>
      </w:r>
      <w:hyperlink r:id="rId13"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EPCA requires that an amended standard prescribed under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must apply to products manufactured after the date that is the later of: (1) The date 3 years after publication of the final rule establishing a new standard or (2) the date 6 years after the effective date of the current standard for a covered product. (</w:t>
      </w:r>
      <w:hyperlink r:id="rId13"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xml:space="preserve">). For commercial packaged boilers, the final rule is scheduled to be published in 2016 and the current standards went into effect in 2012. Thus, the date 3 years after the publication of a final rule (2019) would be later than the date 6 years after the effective date of the current standard (2018) for this round of rulemaking. As a result, compliance with any amended energy conservation standards promulgated in the final rule would be required beginning on the date that is 3 years after the publication of the final rule. </w:t>
      </w:r>
      <w:r>
        <w:rPr>
          <w:rFonts w:ascii="arial" w:eastAsia="arial" w:hAnsi="arial" w:cs="arial"/>
          <w:b/>
          <w:i w:val="0"/>
          <w:strike w:val="0"/>
          <w:noProof w:val="0"/>
          <w:color w:val="000000"/>
          <w:position w:val="0"/>
          <w:sz w:val="20"/>
          <w:u w:val="none"/>
          <w:vertAlign w:val="baseline"/>
        </w:rPr>
        <w:t> [*15846]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test procedure for commercial packaged boilers is found at </w:t>
      </w:r>
      <w:hyperlink r:id="rId18" w:history="1">
        <w:r>
          <w:rPr>
            <w:rFonts w:ascii="arial" w:eastAsia="arial" w:hAnsi="arial" w:cs="arial"/>
            <w:b w:val="0"/>
            <w:i/>
            <w:strike w:val="0"/>
            <w:noProof w:val="0"/>
            <w:color w:val="0077CC"/>
            <w:position w:val="0"/>
            <w:sz w:val="20"/>
            <w:u w:val="single"/>
            <w:vertAlign w:val="baseline"/>
          </w:rPr>
          <w:t>10 CFR 431.86</w:t>
        </w:r>
      </w:hyperlink>
      <w:r>
        <w:rPr>
          <w:rFonts w:ascii="arial" w:eastAsia="arial" w:hAnsi="arial" w:cs="arial"/>
          <w:b w:val="0"/>
          <w:i w:val="0"/>
          <w:strike w:val="0"/>
          <w:noProof w:val="0"/>
          <w:color w:val="000000"/>
          <w:position w:val="0"/>
          <w:sz w:val="20"/>
          <w:u w:val="none"/>
          <w:vertAlign w:val="baseline"/>
        </w:rPr>
        <w:t xml:space="preserve">, and incorporates by reference the Hydronics Institute (HI) BTS-2000 (Rev 06.07) testing standard, </w:t>
      </w:r>
      <w:r>
        <w:rPr>
          <w:rFonts w:ascii="arial" w:eastAsia="arial" w:hAnsi="arial" w:cs="arial"/>
          <w:b w:val="0"/>
          <w:i/>
          <w:strike w:val="0"/>
          <w:noProof w:val="0"/>
          <w:color w:val="000000"/>
          <w:position w:val="0"/>
          <w:sz w:val="20"/>
          <w:u w:val="none"/>
          <w:vertAlign w:val="baseline"/>
        </w:rPr>
        <w:t>Method to Determine Efficiency of Commercial Space Heating Boilers.</w:t>
      </w:r>
      <w:r>
        <w:rPr>
          <w:rFonts w:ascii="arial" w:eastAsia="arial" w:hAnsi="arial" w:cs="arial"/>
          <w:b w:val="0"/>
          <w:i w:val="0"/>
          <w:strike w:val="0"/>
          <w:noProof w:val="0"/>
          <w:color w:val="000000"/>
          <w:position w:val="0"/>
          <w:sz w:val="20"/>
          <w:u w:val="none"/>
          <w:vertAlign w:val="baseline"/>
        </w:rPr>
        <w:t xml:space="preserve"> As stated previously, on February 22, 2016, DOE issued a notice of proposed rulemaking that proposes several amendments to the CPB test procedure. The changes that are proposed in the new test procedure include: (1) Clarify the coverage for field-constructed commercial packaged boilers and the applicability of DOE's test procedure and standards for this category of commercial packaged boilers, (2) provide an optional field test for commercial packaged boilers with fuel input rate greater than 5,000,000 Btu/h, (3) provide a conversion method to calculate thermal efficiency based on combustion efficiency testing for steam commercial packaged boilers with fuel input rate greater than 5,000,000 Btu/h, (4) modify the inlet and outlet water temperatures during tests of hot water commercial packaged boilers, (5) establish limits on the ambient temperature and relative humidity conditions during testing, (6) modify setup and instrumentation requirements to remove ambiguity, and (7) standardize terminology and provisions for "fuel input rate."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In this notice and the NOPR TSD, DOE uses "fuel input rate," to refer to the maximum rate at which a commercial packaged boiler uses energy, in order to be consistent with Test Procedure definition and language. The industry also uses terms such as input capacity, input ratings, capacity, and rating, and any such instances should be considered synonymous with fuel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comments received on the preliminary analysis TSD for the energy conservation standards rulemaking, DOE received several comments that are specifically related to the current test procedure for commercial packaged boilers. Comments related to the technical aspects of the test procedure development were considered and addressed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received several comments related to the timing of the test procedure and energy conservation standard. AHRI stated that it appreciates DOE's effort to finalize the test procedure revisions in advance of the standards revisions and that it is critical that the revised test procedures be finalized so that the analysis for the revised standard is based properly on the test procedures that will be applied to products to establish their compliance with the revised efficiency standard. AHRI also stated that there must be sufficient time between the completion of the revised test procedure and the NOPR for the efficiency standard to allow all parties to assess the effect of test procedure revisions on potential increased efficiency standards, and encouraged DOE to continue its efforts to minimize the burden. (AHRI, No. 37 at p. 2) n23 Raypak stated that it is concerned about the lack of a finalized efficiency test procedure, and argued that this will adversely affect the capability of DOE to properly evaluate potential efficiency standard changes. (Raypak, No. 35 at p. 1) At the preliminary analysis public meeting, AHRI commented regarding the need to finalize both the test procedure and the coverage determination prior to the NOPR for the energy conservation standards rulemaking. (AHRI, Public Meeting Transcript, No. 39 at p. 16 and pp. 209-211) In the meeting, ACEEE acknowledged the challenges in compliance, certification, and enforcement for large commercial packaged boilers and asked whether DOE is likely to have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enforcement or whether the Department is planning ahead now for enforcement of large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million Btu/h) commercial packaged boilers. (ACEEE, Public Meeting Transcript, No. 39 at p. 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A notation in this form provides a reference for information that is in the docket of DOE's rulemaking to develop energy conservation standards for commercial packaged boilers (Docket No. EERE-2013-BT-STD-0030, which is maintained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;D=EERE-2013-BT-STD-0030</w:t>
      </w:r>
      <w:r>
        <w:rPr>
          <w:rFonts w:ascii="arial" w:eastAsia="arial" w:hAnsi="arial" w:cs="arial"/>
          <w:b w:val="0"/>
          <w:i w:val="0"/>
          <w:strike w:val="0"/>
          <w:noProof w:val="0"/>
          <w:color w:val="000000"/>
          <w:position w:val="0"/>
          <w:sz w:val="20"/>
          <w:u w:val="none"/>
          <w:vertAlign w:val="baseline"/>
        </w:rPr>
        <w:t>). This particular notation refers to a comment: (1) Submitted by AHRI; (2) appearing in document number 0035; and (3) appearing on page 3 of that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the test procedure NOPR for commercial packaged boilers was issued by DOE on February 22, 2016. Although the test procedure has not yet been finalized, DOE believes the proposed test method updates give enough insight as to the changes under consideration that amended standard levels can reasonably be considered in this rulemaking. DOE conducted analyses for this NOPR based on the amended test procedure proposed in the February 2016 test procedure NOPR. However, DOE notes its final rule analyses will be based on DOE's most recently adopted CPB test procedure available at the time of the analyses. EPCA requires that, at least once every 7 years, the Secretary of Energy shall evaluate each type of covered equipment, including packaged boilers, to determine whether amended test procedures would more accurately or fully comply with the requirements for the test procedures to be reasonably designed to produce test results which reflect energy efficiency, energy use, and estimated operating costs during a representative average use cycle; and would not be unduly burdensome to conduct. (</w:t>
      </w:r>
      <w:hyperlink r:id="rId17" w:history="1">
        <w:r>
          <w:rPr>
            <w:rFonts w:ascii="arial" w:eastAsia="arial" w:hAnsi="arial" w:cs="arial"/>
            <w:b w:val="0"/>
            <w:i/>
            <w:strike w:val="0"/>
            <w:noProof w:val="0"/>
            <w:color w:val="0077CC"/>
            <w:position w:val="0"/>
            <w:sz w:val="20"/>
            <w:u w:val="single"/>
            <w:vertAlign w:val="baseline"/>
          </w:rPr>
          <w:t>42 U.S.C. 6314(a)(1)</w:t>
        </w:r>
      </w:hyperlink>
      <w:r>
        <w:rPr>
          <w:rFonts w:ascii="arial" w:eastAsia="arial" w:hAnsi="arial" w:cs="arial"/>
          <w:b w:val="0"/>
          <w:i w:val="0"/>
          <w:strike w:val="0"/>
          <w:noProof w:val="0"/>
          <w:color w:val="000000"/>
          <w:position w:val="0"/>
          <w:sz w:val="20"/>
          <w:u w:val="none"/>
          <w:vertAlign w:val="baseline"/>
        </w:rPr>
        <w:t xml:space="preserve">-(2)) DOE adopted its latest amendments to its CPB test procedure in a final rule published on July 22, 2009. </w:t>
      </w:r>
      <w:hyperlink r:id="rId19" w:history="1">
        <w:r>
          <w:rPr>
            <w:rFonts w:ascii="arial" w:eastAsia="arial" w:hAnsi="arial" w:cs="arial"/>
            <w:b w:val="0"/>
            <w:i/>
            <w:strike w:val="0"/>
            <w:noProof w:val="0"/>
            <w:color w:val="0077CC"/>
            <w:position w:val="0"/>
            <w:sz w:val="20"/>
            <w:u w:val="single"/>
            <w:vertAlign w:val="baseline"/>
          </w:rPr>
          <w:t>74 FR 36312.</w:t>
        </w:r>
      </w:hyperlink>
      <w:r>
        <w:rPr>
          <w:rFonts w:ascii="arial" w:eastAsia="arial" w:hAnsi="arial" w:cs="arial"/>
          <w:b w:val="0"/>
          <w:i w:val="0"/>
          <w:strike w:val="0"/>
          <w:noProof w:val="0"/>
          <w:color w:val="000000"/>
          <w:position w:val="0"/>
          <w:sz w:val="20"/>
          <w:u w:val="none"/>
          <w:vertAlign w:val="baseline"/>
        </w:rPr>
        <w:t xml:space="preserve"> Pursuant to EPCA's provision at </w:t>
      </w:r>
      <w:hyperlink r:id="rId17" w:history="1">
        <w:r>
          <w:rPr>
            <w:rFonts w:ascii="arial" w:eastAsia="arial" w:hAnsi="arial" w:cs="arial"/>
            <w:b w:val="0"/>
            <w:i/>
            <w:strike w:val="0"/>
            <w:noProof w:val="0"/>
            <w:color w:val="0077CC"/>
            <w:position w:val="0"/>
            <w:sz w:val="20"/>
            <w:u w:val="single"/>
            <w:vertAlign w:val="baseline"/>
          </w:rPr>
          <w:t>42 U.S.C. 6314(a)(1)</w:t>
        </w:r>
      </w:hyperlink>
      <w:r>
        <w:rPr>
          <w:rFonts w:ascii="arial" w:eastAsia="arial" w:hAnsi="arial" w:cs="arial"/>
          <w:b w:val="0"/>
          <w:i w:val="0"/>
          <w:strike w:val="0"/>
          <w:noProof w:val="0"/>
          <w:color w:val="000000"/>
          <w:position w:val="0"/>
          <w:sz w:val="20"/>
          <w:u w:val="none"/>
          <w:vertAlign w:val="baseline"/>
        </w:rPr>
        <w:t>-(2), DOE is conducting a concurrent test procedure rulemaking to evaluate its current CPB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effect of the amended test procedure on efficiency ratings, DOE notes that it tested several commercial packaged boilers with both the previous and the proposed test procedure to observe the variation in efficiency ratings as a result of the amended test procedure. As explained in the February 2016 test procedure NOPR, based on the results of this testing, DOE has tentatively determined that the proposed amendments, in aggregate, would not result in an overall measurable impact on ratings.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conducts a market and technology assessment that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 through (iv). Additionally, DOE notes that these screening criteria do not directly address the proprietary status of design options. DOE only </w:t>
      </w:r>
      <w:r>
        <w:rPr>
          <w:rFonts w:ascii="arial" w:eastAsia="arial" w:hAnsi="arial" w:cs="arial"/>
          <w:b/>
          <w:i w:val="0"/>
          <w:strike w:val="0"/>
          <w:noProof w:val="0"/>
          <w:color w:val="000000"/>
          <w:position w:val="0"/>
          <w:sz w:val="20"/>
          <w:u w:val="none"/>
          <w:vertAlign w:val="baseline"/>
        </w:rPr>
        <w:t> [*15847] </w:t>
      </w:r>
      <w:r>
        <w:rPr>
          <w:rFonts w:ascii="arial" w:eastAsia="arial" w:hAnsi="arial" w:cs="arial"/>
          <w:b w:val="0"/>
          <w:i w:val="0"/>
          <w:strike w:val="0"/>
          <w:noProof w:val="0"/>
          <w:color w:val="000000"/>
          <w:position w:val="0"/>
          <w:sz w:val="20"/>
          <w:u w:val="none"/>
          <w:vertAlign w:val="baseline"/>
        </w:rPr>
        <w:t xml:space="preserve"> considers efficiency levels achieved through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 DOE believes the proposed standards for the equipment covered in this rulemaking would not mandate the use of any proprietary technologies, and that all manufacturers would be able to achieve the proposed levels through the use of non-proprietary designs. Section IV.B of this document discusses the results of the screening analysis for commercial packaged boilers, particularly the designs DOE considered, those it screened out, and those that are the basis for the TSLs in this rulemaking. For further details on the screening analysis for this rulemaking, see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equipment. Accordingly, in the engineering analysis, DOE determined the maximum technologically feasible ("max-tech") improvements in energy efficiency for commercial packaged boilers, using the design parameters for the most efficient equipment available on the market or in working prototypes. The max-tech levels that DOE determined for this rulemaking are described in section IV.C.4 of this document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commercial packaged boilers that are the subject of this rulemaking purchased in the 30-year period that begins in the year of compliance with amended standards (2019-2048). n24 The savings are measured over the entire lifetime of commercial packaged boilers purchased in the 30-year analysis period. DOE quantified the energy savings attributable to each TSL as the difference in energy consumption between each standards case and the no-new-standards-case. The no-new-standards case represents a projection of energy consumption in the absence of amended efficiency standards, and it considers market forces and policies that may affect future demand for more-efficient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DOE also presents a sensitivity analysis that considers impacts for products shipped in a 9-year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its NIA spreadsheet models to estimate energy savings from potential amended standards. The NIA spreadsheet model (described in section IV.H of this document) calculates energy savings in site energy, which is the energy directly consumed by equipment at the locations where they are used. For electricity, DOE calculates national energy savings in terms of primary energy savings, which is the savings in the energy that is used to generate and transmit the site electricity. For electricity and natural gas and oil,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primary energy savings, DOE derives annual conversion factors from the model used to prepare the Energy Information Administration's (EIA's)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For FFC energy savings, DOE's approach is based on the calculation of an FFC multiplier for each of the energy types used by covered products or equipment. For more information, see section IV.H.2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amend standards for commercial packaged boilers, DOE must determine with clear and convincing evidence that the standards would result in "significant" additional energy savings. (</w:t>
      </w:r>
      <w:hyperlink r:id="rId13"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(C)(i)) Although the term "significant" is not defined in the Act, the U.S. Court of Appeals for the District of Columbia Circuit, in </w:t>
      </w:r>
      <w:hyperlink r:id="rId30"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DOE has tentatively concluded the energy savings for the proposed standards (presented in section V.B.3.a of this document) are "significant" as required by </w:t>
      </w:r>
      <w:hyperlink r:id="rId13"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3"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 and (C)(i))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economic impact of a standard on manufacturers and the commercial consumers of the products subject to the standard. (</w:t>
      </w:r>
      <w:hyperlink r:id="rId13" w:history="1">
        <w:r>
          <w:rPr>
            <w:rFonts w:ascii="arial" w:eastAsia="arial" w:hAnsi="arial" w:cs="arial"/>
            <w:b w:val="0"/>
            <w:i/>
            <w:strike w:val="0"/>
            <w:noProof w:val="0"/>
            <w:color w:val="0077CC"/>
            <w:position w:val="0"/>
            <w:sz w:val="20"/>
            <w:u w:val="single"/>
            <w:vertAlign w:val="baseline"/>
          </w:rPr>
          <w:t>42 U.S.C. 6313(a)(6)(B)(I)</w:t>
        </w:r>
      </w:hyperlink>
      <w:r>
        <w:rPr>
          <w:rFonts w:ascii="arial" w:eastAsia="arial" w:hAnsi="arial" w:cs="arial"/>
          <w:b w:val="0"/>
          <w:i w:val="0"/>
          <w:strike w:val="0"/>
          <w:noProof w:val="0"/>
          <w:color w:val="000000"/>
          <w:position w:val="0"/>
          <w:sz w:val="20"/>
          <w:u w:val="none"/>
          <w:vertAlign w:val="baseline"/>
        </w:rPr>
        <w:t xml:space="preserve"> and (C)(i)) In determining the impacts of a potential amended standard on manufacturers, DOE conducts a manufacturer impact analysis (MIA), as discussed in section IV.J of this document.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based on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individual consumers, measures of economic impact include the changes in LCC and PBP associated with new or amended standards. These measures are discussed further in the following section. For consumers in the aggregate, DOE also calculates the national NPV of the economic impacts applicable to a particular rulemaking. DOE also evaluates the LCC impacts of potential standards on identifiable subgroups of consumers that may be affected disproportionately by a national standard. </w:t>
      </w:r>
      <w:r>
        <w:rPr>
          <w:rFonts w:ascii="arial" w:eastAsia="arial" w:hAnsi="arial" w:cs="arial"/>
          <w:b/>
          <w:i w:val="0"/>
          <w:strike w:val="0"/>
          <w:noProof w:val="0"/>
          <w:color w:val="000000"/>
          <w:position w:val="0"/>
          <w:sz w:val="20"/>
          <w:u w:val="none"/>
          <w:vertAlign w:val="baseline"/>
        </w:rPr>
        <w:t> [*15848]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equipment in the type (or class) compared to any increase in the price of, or in the initial charges for, or maintenance expenses of, the covered equipment that are likely to result from an amended standard. (</w:t>
      </w:r>
      <w:hyperlink r:id="rId13"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xml:space="preserve"> and (C)(i))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the equipment (including installation cost and sales tax) and the operating expense (including energy, maintenance, and repair expenditures) discounted over the lifetime of the equipment. The LCC analysis requires a variety of inputs, such as equipment prices, equipment energy consumption, energy prices, maintenance and repair costs, equipment lifetime, and consumer discount rates. To account for uncertainty and variability in specific inputs, such as equipment lifetime and discount rate, DOE uses a distribution of values, with probabilities attached to each value. For its analysis, DOE assumes that consumers will purchase the covered equipment in the first year of compliance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 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savings for the considered efficiency levels are calculated relative to a no-new-standards-case that reflects projected market trends in the absence of amended standards. DOE identifies the percentage of consumers estimated to receive LCC savings or experience an LCC increase, in addition to the average LCC savings associated with a particular standard level. DOE's LCC and PBP analysis is discussed in further detail in section IV.F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in determining the economic justification of a standard, to consider the total projected energy savings that are expected to result directly from the standard. (</w:t>
      </w:r>
      <w:hyperlink r:id="rId13"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 xml:space="preserve"> As discussed in section III.D.1 and section IV.E of this document and chapter 10 of the NOPR TSD, DOE uses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 proposed standard is economically justified, DOE evaluates any lessening of the utilities or performance of the considered equipment. (</w:t>
      </w:r>
      <w:hyperlink r:id="rId13" w:history="1">
        <w:r>
          <w:rPr>
            <w:rFonts w:ascii="arial" w:eastAsia="arial" w:hAnsi="arial" w:cs="arial"/>
            <w:b w:val="0"/>
            <w:i/>
            <w:strike w:val="0"/>
            <w:noProof w:val="0"/>
            <w:color w:val="0077CC"/>
            <w:position w:val="0"/>
            <w:sz w:val="20"/>
            <w:u w:val="single"/>
            <w:vertAlign w:val="baseline"/>
          </w:rPr>
          <w:t>42 U.S.C. 6313(a)(6)(B)(ii)(IV)</w:t>
        </w:r>
      </w:hyperlink>
      <w:r>
        <w:rPr>
          <w:rFonts w:ascii="arial" w:eastAsia="arial" w:hAnsi="arial" w:cs="arial"/>
          <w:b w:val="0"/>
          <w:i w:val="0"/>
          <w:strike w:val="0"/>
          <w:noProof w:val="0"/>
          <w:color w:val="000000"/>
          <w:position w:val="0"/>
          <w:sz w:val="20"/>
          <w:u w:val="none"/>
          <w:vertAlign w:val="baseline"/>
        </w:rPr>
        <w:t xml:space="preserve"> and (C)(i)) Based on data available to DOE, the standards proposed in this document would not reduce the utility or performance of the equipment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of the United States that is likely to result from a proposed standard. (</w:t>
      </w:r>
      <w:hyperlink r:id="rId13"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and (C)(i))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new or amended energy conservation standards, EPCA also directs DOE to consider the need for the national energy conservation. (</w:t>
      </w:r>
      <w:hyperlink r:id="rId13"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xml:space="preserve"> and (C)(i)) The proposed standards are likely to improve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and use. DOE conducts an emissions analysis to estimate how standards may affect these emissions, as discussed in section IV.K of this document. DOE reports the emissions impacts from each TSL it considered in section V.B.6 of this document. DOE also estimates the economic value of emissions reductions resulting from the considered TSLs, as discussed in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xml:space="preserve"> and (C)(i))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creates a rebuttable presumption that an energy conservation standard is economically justified if the additional cost to the consumer of the equipment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PBP for consumers. These analyses include, but are not limited to, the 3-year PBP contemplated under the rebuttable-presumption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xml:space="preserve"> and (C)(i).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IV.F.11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three analytical tools to estimate the impact of the proposed standards. The first tool is a spreadsheet that calculates LCCs and PBPs of potential new energy conservation standards. The second tool is a spreadsheet that calculates national energy savings and net present value resulting from potential amended energy conservation standards. n25 The third spreadsheet tool, the Government </w:t>
      </w:r>
      <w:r>
        <w:rPr>
          <w:rFonts w:ascii="arial" w:eastAsia="arial" w:hAnsi="arial" w:cs="arial"/>
          <w:b/>
          <w:i w:val="0"/>
          <w:strike w:val="0"/>
          <w:noProof w:val="0"/>
          <w:color w:val="000000"/>
          <w:position w:val="0"/>
          <w:sz w:val="20"/>
          <w:u w:val="none"/>
          <w:vertAlign w:val="baseline"/>
        </w:rPr>
        <w:t> [*15849] </w:t>
      </w:r>
      <w:r>
        <w:rPr>
          <w:rFonts w:ascii="arial" w:eastAsia="arial" w:hAnsi="arial" w:cs="arial"/>
          <w:b w:val="0"/>
          <w:i w:val="0"/>
          <w:strike w:val="0"/>
          <w:noProof w:val="0"/>
          <w:color w:val="000000"/>
          <w:position w:val="0"/>
          <w:sz w:val="20"/>
          <w:u w:val="none"/>
          <w:vertAlign w:val="baseline"/>
        </w:rPr>
        <w:t xml:space="preserve"> Regulatory Impact Model (GRIM), helped DOE to assess manufacturer impacts of potential standards. These tools are available on the DOE Web site for this rulemaking: </w:t>
      </w:r>
      <w:hyperlink r:id="rId31" w:history="1">
        <w:r>
          <w:rPr>
            <w:rFonts w:ascii="arial" w:eastAsia="arial" w:hAnsi="arial" w:cs="arial"/>
            <w:b w:val="0"/>
            <w:i/>
            <w:strike w:val="0"/>
            <w:noProof w:val="0"/>
            <w:color w:val="0077CC"/>
            <w:position w:val="0"/>
            <w:sz w:val="20"/>
            <w:u w:val="single"/>
            <w:vertAlign w:val="baseline"/>
          </w:rPr>
          <w:t>http://www1.eere.energy.gov/buildings/appliance_standards/rulemaking.aspx?ruleid=79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shipments model was developed as a Microsoft Excel spreadsheet, which is integrated into the spreadsheet for the NIA. The "shipment forecast" and "historical shipments" worksheets of the NIA model present the scope of the shipment analysis and the total shipments in units for the commercial packaged boilers in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estimated the impacts of energy conservation standards for commercial packaged boilers on utilities and the environment. DOE used a version of EIA's National Energy Modeling System (NEMS) for the utility and environmental analyses. The NEMS model simulates the energy sector of the U.S. economy. EIA uses NEMS to prepare its </w:t>
      </w:r>
      <w:r>
        <w:rPr>
          <w:rFonts w:ascii="arial" w:eastAsia="arial" w:hAnsi="arial" w:cs="arial"/>
          <w:b w:val="0"/>
          <w:i/>
          <w:strike w:val="0"/>
          <w:noProof w:val="0"/>
          <w:color w:val="000000"/>
          <w:position w:val="0"/>
          <w:sz w:val="20"/>
          <w:u w:val="none"/>
          <w:vertAlign w:val="baseline"/>
        </w:rPr>
        <w:t>Annual Energy Outlook (AEO),</w:t>
      </w:r>
      <w:r>
        <w:rPr>
          <w:rFonts w:ascii="arial" w:eastAsia="arial" w:hAnsi="arial" w:cs="arial"/>
          <w:b w:val="0"/>
          <w:i w:val="0"/>
          <w:strike w:val="0"/>
          <w:noProof w:val="0"/>
          <w:color w:val="000000"/>
          <w:position w:val="0"/>
          <w:sz w:val="20"/>
          <w:u w:val="none"/>
          <w:vertAlign w:val="baseline"/>
        </w:rPr>
        <w:t xml:space="preserve"> a widely known energy forecast for the United States. The version of NEMS used for appliance standards analysis is called NEMS-BT and is based on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with minor modifications. n26 The NEMS-BT model offers a sophisticated picture of the effect of standards, because it accounts for the interactions between the various energy supply and demand sectors and the economy as a whole.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EIA allows the use of the name "NEMS" to describe only an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of the model without any modification to code or data. Because the present analysis entails some minor code modifications and runs the model under various policy scenarios that deviate from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assumptions, the name "NEMS-BT" refers to the model as used here. For more information on NEMS, refer to The National Energy Modeling System: An Overview, DOE/EIA-0581 (98) (Feb.1998), available at: </w:t>
      </w:r>
      <w:hyperlink r:id="rId32" w:history="1">
        <w:r>
          <w:rPr>
            <w:rFonts w:ascii="arial" w:eastAsia="arial" w:hAnsi="arial" w:cs="arial"/>
            <w:b w:val="0"/>
            <w:i/>
            <w:strike w:val="0"/>
            <w:noProof w:val="0"/>
            <w:color w:val="0077CC"/>
            <w:position w:val="0"/>
            <w:sz w:val="20"/>
            <w:u w:val="single"/>
            <w:vertAlign w:val="baseline"/>
          </w:rPr>
          <w:t>http://tonto.eia.doe.gov/FTPROOT/forecasting/058198.pdf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market and technology assessment, DOE develops information that provides an overall snapshot of the market for the equipment considered, including the nature of the equipment, market characteristics, industry structure, and technologies that improve energy efficiency. The analysis carried out under this chapter is broadly divided into two categories: (1) Market assessment and (2) technology assessment. The purpose of the market assessment is to develop a qualitative and quantitative characterization of the CPB industry and market structure, based on information that is publicly available and on data submitted by manufacturers and other interested parties. Issues addressed include CPB characteristics, market share and equipment classes; existing regulatory and non-regulatory efficiency improvement initiatives; overview of historical equipment shipments and lifetimes and trends in the equipment markets. The purpose of the technology assessment is to investigate technologies that will improve the energy efficiency of commercial packaged boilers, and results in a preliminary list of technology options that can improve the thermal and/or combustion efficiency of commercial packaged boilers. Chapter 3 of the NOPR TSD contains all the information related to the market and technology assessment. The chapter also provides additional details on the methodology used, information gathered and results. DOE typically uses the information gathered in this chapter in the various downstream analyses such as engineering analysis, shipment analysis, and manufacturer impact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also explored the market to identify manufacturers of commercial packaged boilers. As per the definition set forth in </w:t>
      </w:r>
      <w:hyperlink r:id="rId33" w:history="1">
        <w:r>
          <w:rPr>
            <w:rFonts w:ascii="arial" w:eastAsia="arial" w:hAnsi="arial" w:cs="arial"/>
            <w:b w:val="0"/>
            <w:i/>
            <w:strike w:val="0"/>
            <w:noProof w:val="0"/>
            <w:color w:val="0077CC"/>
            <w:position w:val="0"/>
            <w:sz w:val="20"/>
            <w:u w:val="single"/>
            <w:vertAlign w:val="baseline"/>
          </w:rPr>
          <w:t>10 CFR 431.82</w:t>
        </w:r>
      </w:hyperlink>
      <w:r>
        <w:rPr>
          <w:rFonts w:ascii="arial" w:eastAsia="arial" w:hAnsi="arial" w:cs="arial"/>
          <w:b w:val="0"/>
          <w:i w:val="0"/>
          <w:strike w:val="0"/>
          <w:noProof w:val="0"/>
          <w:color w:val="000000"/>
          <w:position w:val="0"/>
          <w:sz w:val="20"/>
          <w:u w:val="none"/>
          <w:vertAlign w:val="baseline"/>
        </w:rPr>
        <w:t>, a manufacturer of a commercial packaged boiler is any person who: (1) Manufactures, produces, assembles or imports a commercial packaged boiler in its entirety; (2) manufactures, produces, assembles or imports a commercial packaged boiler in part, and specifies or approves the boiler's components, including burners or other components produced by others, as for example by specifying such components in a catalogue by make and model number or parts number; or (3) is any vendor or installer who sells a commercial packaged boiler that consists of a combination of components that is not specified or approved by a person described in the two previous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extensive search of publicly available information, including ABMA's and AHRI's Web sites, DOE identified 45 CPB manufacturers that meet this definition. The complete list of manufacturers can be found in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number and names of manufacturers that qualify as CPB manufacturers according to the list of manufacturers in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Coverage and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lists "packaged boilers" as a type of covered equipment. (</w:t>
      </w:r>
      <w:hyperlink r:id="rId10" w:history="1">
        <w:r>
          <w:rPr>
            <w:rFonts w:ascii="arial" w:eastAsia="arial" w:hAnsi="arial" w:cs="arial"/>
            <w:b w:val="0"/>
            <w:i/>
            <w:strike w:val="0"/>
            <w:noProof w:val="0"/>
            <w:color w:val="0077CC"/>
            <w:position w:val="0"/>
            <w:sz w:val="20"/>
            <w:u w:val="single"/>
            <w:vertAlign w:val="baseline"/>
          </w:rPr>
          <w:t>42 U.S.C 6311(1)</w:t>
        </w:r>
      </w:hyperlink>
      <w:r>
        <w:rPr>
          <w:rFonts w:ascii="arial" w:eastAsia="arial" w:hAnsi="arial" w:cs="arial"/>
          <w:b w:val="0"/>
          <w:i w:val="0"/>
          <w:strike w:val="0"/>
          <w:noProof w:val="0"/>
          <w:color w:val="000000"/>
          <w:position w:val="0"/>
          <w:sz w:val="20"/>
          <w:u w:val="none"/>
          <w:vertAlign w:val="baseline"/>
        </w:rPr>
        <w:t>). EPCA defines the term "packaged boiler" as "a boiler that is shipped complete with heating equipment, mechanical draft equipment, and automatic controls; usually shipped in one or more sections." (</w:t>
      </w:r>
      <w:hyperlink r:id="rId10" w:history="1">
        <w:r>
          <w:rPr>
            <w:rFonts w:ascii="arial" w:eastAsia="arial" w:hAnsi="arial" w:cs="arial"/>
            <w:b w:val="0"/>
            <w:i/>
            <w:strike w:val="0"/>
            <w:noProof w:val="0"/>
            <w:color w:val="0077CC"/>
            <w:position w:val="0"/>
            <w:sz w:val="20"/>
            <w:u w:val="single"/>
            <w:vertAlign w:val="baseline"/>
          </w:rPr>
          <w:t>42 U.S.C. 6311(11)(B)</w:t>
        </w:r>
      </w:hyperlink>
      <w:r>
        <w:rPr>
          <w:rFonts w:ascii="arial" w:eastAsia="arial" w:hAnsi="arial" w:cs="arial"/>
          <w:b w:val="0"/>
          <w:i w:val="0"/>
          <w:strike w:val="0"/>
          <w:noProof w:val="0"/>
          <w:color w:val="000000"/>
          <w:position w:val="0"/>
          <w:sz w:val="20"/>
          <w:u w:val="none"/>
          <w:vertAlign w:val="baseline"/>
        </w:rPr>
        <w:t xml:space="preserv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 clarifies the term "packaged boiler" to exclude a boiler that is "custom designed and field constructed," and it further provides that if the boiler is shipped in more than one section, the sections may be produced by more than one manufacturer and may be originated or shipped at different times and from more than one location. </w:t>
      </w:r>
      <w:hyperlink r:id="rId33" w:history="1">
        <w:r>
          <w:rPr>
            <w:rFonts w:ascii="arial" w:eastAsia="arial" w:hAnsi="arial" w:cs="arial"/>
            <w:b w:val="0"/>
            <w:i/>
            <w:strike w:val="0"/>
            <w:noProof w:val="0"/>
            <w:color w:val="0077CC"/>
            <w:position w:val="0"/>
            <w:sz w:val="20"/>
            <w:u w:val="single"/>
            <w:vertAlign w:val="baseline"/>
          </w:rPr>
          <w:t>10 CFR 431.82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define the term "commercial packaged boiler" as "a type of packaged low pressure boiler that is industrial equipment with a capacity (rated maximum input) of 300,000 Btu per hour (Btu/h) or more which, to any significant extent, is distributed in commerce (1) for heating or space conditioning applications in buildings; or (2) for service water heating in buildings but does not meet the definition of hot water supply boiler' in [10 CFR part 431]." A "packaged low pressure boiler" means, "a packaged boiler that is (1) a steam boiler designed to operate below a steam pressure of 15 psig; or (2) a hot water boiler designed to operate at or below a water pressure of 160 psig and a temperature of 250 [degrees] F or (3) a boiler that is designed to be capable of supplying either steam or hot water, and designed to operate under the conditions in paragraphs (1) and (2) of this definition." </w:t>
      </w:r>
      <w:hyperlink r:id="rId33" w:history="1">
        <w:r>
          <w:rPr>
            <w:rFonts w:ascii="arial" w:eastAsia="arial" w:hAnsi="arial" w:cs="arial"/>
            <w:b w:val="0"/>
            <w:i/>
            <w:strike w:val="0"/>
            <w:noProof w:val="0"/>
            <w:color w:val="0077CC"/>
            <w:position w:val="0"/>
            <w:sz w:val="20"/>
            <w:u w:val="single"/>
            <w:vertAlign w:val="baseline"/>
          </w:rPr>
          <w:t>10 CFR 431.82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current definition of "packaged boiler" refers to a boiler that is shipped complete with heating equipment, mechanical draft equipment, and automatic controls. The definition does not explicitly include natural draft equipment. However, as discussed in the August 2015 withdrawal notice, DOE interprets the definitions in the statute to include natural draft commercial packaged boilers. After considering written comments on the August 2013 NOPD and comments on the preliminary analysis TSD related to the coverage of natural draft equipment, DOE concluded that natural draft commercial packaged boilers are and have been covered equipment subject to DOE's energy conservation standards. Therefore, DOE concluded it was unnecessary to publish a determination to clarify its statutory authority to cover natural draft commercial packaged boilers. Accordingly, DOE has included natural draft commercial packaged boilers under the scope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specifically sought public comment on its tentative decision not to set an upper limit to the fuel input rate for commercial packaged boilers. This issue was first raised in the Framework document (Item 2-4 at page 12), where DOE requested feedback on whether there were any size related issues that may render energy conservation </w:t>
      </w:r>
      <w:r>
        <w:rPr>
          <w:rFonts w:ascii="arial" w:eastAsia="arial" w:hAnsi="arial" w:cs="arial"/>
          <w:b/>
          <w:i w:val="0"/>
          <w:strike w:val="0"/>
          <w:noProof w:val="0"/>
          <w:color w:val="000000"/>
          <w:position w:val="0"/>
          <w:sz w:val="20"/>
          <w:u w:val="none"/>
          <w:vertAlign w:val="baseline"/>
        </w:rPr>
        <w:t> [*15850] </w:t>
      </w:r>
      <w:r>
        <w:rPr>
          <w:rFonts w:ascii="arial" w:eastAsia="arial" w:hAnsi="arial" w:cs="arial"/>
          <w:b w:val="0"/>
          <w:i w:val="0"/>
          <w:strike w:val="0"/>
          <w:noProof w:val="0"/>
          <w:color w:val="000000"/>
          <w:position w:val="0"/>
          <w:sz w:val="20"/>
          <w:u w:val="none"/>
          <w:vertAlign w:val="baseline"/>
        </w:rPr>
        <w:t xml:space="preserve"> standards infeasible for very large commercial packaged boilers. DOE received several comments in response to the Framework document that included suggestions of input capacities at which the scope of the standards rulemaking could be capped. AHRI recommended that the scope of the rulemaking should be capped at 5,000 kBtu/h. (AHRI, No.17 at pp. 1-2) ABMA, Burnham Holdings, and Cleaver Brooks suggested that the scope should be capped at 2,500 kBtu/h, citing high testing costs and practicability concerns. (ABMA, No. 14 at pp. 2-3; Cleaver-Brooks, No. 12 at p. 1; Burnham, No. 15 at p. 2) HTP recommended three commercial packaged boiler classifications: "small," with fuel input rates &gt;/=300 kBtu/h to &lt; 2,500 kBtu/h; "medium," with fuel input rates &gt;/=2,500 kBtu/h and &lt; 5,000 kBtu/h; and "large," with fuel input rates &gt;/=5,000 kBtu/h. (HTP, No. 18 at pp. 1-2) DOE provided responses to all these comments in chapter 2 of the preliminary analysis TSD. In its response, DOE acknowledged the difficulty of testing and rating very large commercial packaged boilers. However, DOE pointed out that defining a fuel input rate upper limit above which standards will not apply could violate EPCA's anti-backsliding provision. As a result, in the preliminary analysis TSD, DOE analyzed all equipment classes for commercial packaged boilers that fit EPCA's definition and have a fuel input rate of 300 kBtu/h or more with no upper limit. DOE also requested further public comment from interested parties on its tentative decision to not set an upper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interested parties and stakeholders commented on this issue in response to the preliminary analysis TSD. Lochinvar commented in support of DOE's decision, stating that the inclusion of commercial packaged boilers with very large fuel input rate is needed to ensure a level playing field and accurate product ratings. Lochinvar further commented that many concerns regarding the test burden are addressed by the revised Alternative Efficiency Determination Methods (AEDM) rules. (Lochinvar, No. 34 at p. 1) ABMA stated that DOE's decision not to set an upper limit on input capacity for commercial packaged boilers is causing significant concern among their member boiler manufacturers. ABMA reported that boilers can approach capacities as high as 80,000 kBtu/h with the testing cost approaching one million dollars, which imposes a prohibitively high financial burden on companies manufacturing large institutional sized space heating boilers. ABMA also argued that their member manufacturers have been offering efficiency guarantees since the late 1970s on the large space heating commercial and institutional packaged boilers and have been capable of meeting current efficiency requirements since 1970. Further, ABMA stated that there exists significant difference between smaller boilers that are built in large quantities to a standard specification and large custom engineered boilers manufactured to specifications for a particular installation. ABMA recommended that DOE cap the efficiency certification requirements for commercial packaged boilers at 2,500 kBtu/h. (ABMA, No. 33 at pp. 1-2) AHRI stated that the commercial boilers that have input rates in the high millions of Btu/h are very different products and that many factors that are considered in DOE's analysis and the associated conclusions cannot be extrapolated up to characterize very large commercial packaged boilers. (AHRI, No. 37 at p. 1) AHRI also stated that when going from 3,000 kBtu/h to tens of millions of Btu/h, a whole different price structure should be employed and there may be an upper limit at which the price structure changes completely. (AHRI, Public Meeting Transcript, No. 39 at p. 45) During the public meeting, ABMA also expressed concern on how DOE would extrapolate prices for an 80 million Btu/h boiler using a 3 million Btu/h boiler as the representative unit. (ABMA, Public Meeting Transcript, No. 39 at pp. 64-65)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comments received from interested parties. Comments regarding testing large commercial packaged boilers were addressed separately in the ongoing test procedure rulemaking (discussed further in section III.B of this document). DOE also acknowledges other issues with regards to the compliance burden of very large commercial packaged boilers, particularly those that are engineered-to-order. Some stakeholders suggested capping the scope of the energy conservation standards as an option to resolve this issue. However, as discussed previously, setting an upper limit to the scope of DOE's energy conservation standards for commercial packaged boilers could violate EPCA's anti-backsliding provision. Therefore, DOE has not set an upper limit for fuel input rate above which the standards will not be applicable. However, as discussed in further detail below, DOE proposes a separate equipment class for "very large" commercial packaged boilers with input capacities greater than 10 million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typically divides covered equipment into equipment classes based on the type of energy used, capacity, or performance-related features that justify a different standard. In making a determination whether a performance-related feature justifies a different standard, DOE considers such factors as the utility to the consumer of the feature and other factors DOE determines are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packaged boilers list 10 equipment classes with corresponding energy efficiency levels for each. n27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xml:space="preserve">. These equipment classes are based on (1) size (fuel input rate), (2) heating media (hot water or steam), and (3) type of fuel used (oil or gas). n28 The gas-fired steam commercial packaged boilers are further classified according to draft type (thereby creating two additional equipment classes). Table IV.1 shows equipment classes that are set forth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These standard levels were adopted in the July 2009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Under subpart E of 10 CFR part 431, commercial packaged boilers are divided into equipment classes based on fuel input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size category). Throughout this document, DOE refers to units with an fuel input rate of &gt;/=300,000 Btu/h and &lt;/= 2,500,000 Btu/h as "small" and units with an fuel input rate &gt;2,500,000 Btu/h as "large."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2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IV.1--CPB Equipment Classes Set Forth in the Current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at 10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431.87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Hot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Hot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Hot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Hot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Gas-fired--all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natural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Steam</w:t>
            </w: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Gas-fired--all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natural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Steam</w:t>
            </w: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Gas-fired--natural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Draft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Gas-fired--natural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Draft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divided commercial packaged boilers into 16 equipment classes, based on size, fuel, heating medium, and type of draft. DOE sought public comment on its tentative decision to classify commercial packaged boilers into 16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ACEEE, ASAP, and NRDC recommended that DOE adopt a single equipment class for natural draft and mechanical draft commercial packaged boilers, citing that natural draft commercial packaged boilers are inherently less efficient and that this will ensure maximum energy efficiency improvement. The commenters also stated that they are unaware of any distinct utility that is offered by natural draft commercial packaged boilers that is different from mechanical draft commercial packaged boilers. (ACEEE, ASAP, and NRDC, No. 36 at p. 2) PG&amp;E and SCE noted that natural draft commercial packaged boilers have much lower part-load efficiency and are rapidly becoming obsolete due to changes in consumer buying behavior. The commenters argued against the separation of the equipment classes, specifically hot water commercial packaged boilers and stated that both mechanical draft and natural draft systems have the same utility and, therefore, should be considered in the same equipment class. (PG&amp;E and SCE, No. 38 at p. 3) Raypak recommended DOE to revert back to the 10 equipment classes that are set forth in the current energy conservation standards at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xml:space="preserve">. (Raypak, No. 35 at p. 2) Raypak noted that non-condensing boilers are still a significant part of the market and offer several advantages such as simple operation and maintenance, higher design water temperature, lower costs, and higher lifetimes, and encouraged DOE to maintain the natural draft boiler equipment classes. Raypak further encouraged DOE not to amend energy conservation standards to a level that would not support natural draft commercial packaged boilers. (Raypak, No. 35 at pp. 6-7) Lochinvar encouraged DOE to maintain the 10 equipment classes that are set forth in the current energy conservation standards at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xml:space="preserve"> and stated that the division of the classes will lead to different minimum ratings for natural draft and mechanical draft boilers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inequality. Lochinvar also cited commercial water heaters as an example, stating that commercial water heaters are available with mechanical and natural draft systems, but the energy conservation standards are applicable to all types of equipment irrespective of the draft type (Lochinvar, No. 34 at p. 1) AHRI argued that natural draft commercial packaged boilers are covered equipment subject to DOE's efficiency standards, but this does not extend to creating separate equipment classes for such products in the efficiency standards. AHRI further stated that the current 10 equipment classes set forth in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xml:space="preserve"> are appropriate. (AHRI, No. 37 at p. 2) AHRI also commented during the preliminary analysis public meeting that the 16 equipment classes used in the preliminary analysis were a good starting point, but that the classes can be squeezed together. (AHRI, Public Meeting Transcript, No. 39 at p. 26) ASAP questioned DOE's rationale for adopting separate equipment classes for mechanical and natural draft commercial packaged boilers. (ASAP, Public Meeting Transcript, No. 39 at p.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comments stating that both natural draft and mechanical draft commercial packaged boilers provide the same utility. Based on DOE's understanding, there appears to be no distinct performance related utility that is provided by natural draft commercial packaged boilers that justifies a separate equipment class for such equipment. Consequently, there appears to be no justification to maintain separate equipment classes for natural draft commercial packaged boilers. Therefore, in this document, DOE proposes to consolidate CPB equipment classes that are currently divided by draft type. n29 Specifically, DOE proposes to combine the small (&gt;/=300,000 Btu/h and &lt;/= 2,500,000 Btu/h), gas fired--all except natural draft, steam and small (&gt;/=300,000 Btu/h and &lt;/= 2,500,000 Btu/h), gas fired--natural draft, steam classes; and the large (&gt;2,500,000 Btu/h and &lt;/= 10,000,000 Btu/h), gas fired--all except natural draft, steam and large (&gt;/=2,500,000 Btu/h and &lt;/= 10,000,000 Btu/h), gas fired--natural draft, steam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Because DOE has not proposed amended standards for commercial packaged boilers with input ratings above 10,000,000 Btu/h, the standards for equipment in this class will remain unchanged. Thus, although DOE is consolidating this equipment into a single class, an allowance will still be made for natural draft units to have a lower minimum efficiency until March 2, 2022, as is allowed under the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based on the concerns expressed by interested parties regarding the complexities of regulating very large commercial packaged boilers discussed earlier in this section, DOE has tentatively decided to propose </w:t>
      </w:r>
      <w:r>
        <w:rPr>
          <w:rFonts w:ascii="arial" w:eastAsia="arial" w:hAnsi="arial" w:cs="arial"/>
          <w:b/>
          <w:i w:val="0"/>
          <w:strike w:val="0"/>
          <w:noProof w:val="0"/>
          <w:color w:val="000000"/>
          <w:position w:val="0"/>
          <w:sz w:val="20"/>
          <w:u w:val="none"/>
          <w:vertAlign w:val="baseline"/>
        </w:rPr>
        <w:t> [*15852] </w:t>
      </w:r>
      <w:r>
        <w:rPr>
          <w:rFonts w:ascii="arial" w:eastAsia="arial" w:hAnsi="arial" w:cs="arial"/>
          <w:b w:val="0"/>
          <w:i w:val="0"/>
          <w:strike w:val="0"/>
          <w:noProof w:val="0"/>
          <w:color w:val="000000"/>
          <w:position w:val="0"/>
          <w:sz w:val="20"/>
          <w:u w:val="none"/>
          <w:vertAlign w:val="baseline"/>
        </w:rPr>
        <w:t xml:space="preserve"> separate equipment classes for commercial packaged boilers with fuel input rates above 10,000 kBtu/h. In order to determine the fuel input rate at which to separate the proposed large CPB equipment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classes with a fuel input rate &gt;2,500 kBtu/h) and the proposed new equipment class for "very large" commercial packaged boilers, DOE performed a calculation to estimate the energy savings potential for very large CPB equipment classes at various minimum fuel input rate thresholds. DOE estimated the potential for energy savings for commercial packaged boilers with fuel input rates above 10,000 kBtu/h to be between 0.014 and 0.025 quads based on the range of TSLs considered in the NOPR, by assigning the same efficiency level to the very large equipment classes as was considered for the corresponding large equipment classes. Further, DOE examined the price data collected for the engineering analysis and noticed a smooth linear trend in prices as they vary with fuel input rate, from 300 kBtu/h up to approximately 9,500 kBtu/h. The smooth trend created by the data appears to indicate that commercial packaged boilers below 10,000 kBtu/h do not have a separate price structure; this linear price trend is discussed further in the engineering analysis, section IV.C of this document. Despite extensive efforts, DOE was unable to obtain pricing data for commercial packaged boilers with fuel input rate above 10,000 kBtu/h. Based on these assessments, including the lack of available data, DOE is proposing to classify commercial packaged boiler with fuel input rate above 10,000 kBtu/h as very large equipment classes. As commercial packaged boilers with fuel input rate above 10,000 kBtu/h are currently covered equipment, the existing standards at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xml:space="preserve"> are still applicable. DOE proposes to maintain the existing standards for commercial packaged boilers with fuel input rate above 10,000 kBtu/h (referred to as very large commercial package boilers in this notice) because there is not sufficient data to provide clear and convincing evidence that more stringent standards would be technologically feasible and economically justified, and would result in significant additional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data on manufacturer selling prices, shipments and conversion costs of very large commercial packaged boilers with fuel input rate above 10,000 kBtu/h that can be used to supplement the analyses of such equipment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believes that creating separate equipment classes for very large commercial packaged boilers would reduce the overall compliance burden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proposes the following changes to the equipment classes: (1) Separating the equipment classes for commercial packaged boilers that have a fuel input rate above 10,000 kBtu/h, and (2) consolidating the equipment classes for small and large gas-fired steam boilers that are currently divided based on draft type into equipment classes that are not draft specific. Thus, in total, DOE proposes 12 equipment classes n30 for this NOPR. These classes are categorized based on three performance parameters: (1) Size; (2) heating medium; and (3) fuel type. Table IV.2 shows all of the proposed CPB equipment classes, including the eight equipment classes for which DOE proposes amended standards and four equipment classes for which DOE did not propose to amend standards. In subsequent sections of this document, DOE uses the designated name of equipment classes given in the first column of Table IV.2 to explain various aspects of the rulemaking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Consolidating the 4 draft-specific classes into 2 non-draft-specific classes reduces the number of equipment classes from 10 to 8, and creating separate equipment classes for very large CPB equipment adds 4 equipment classes. These changes result in a total of 12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IV.2--Proposed Equipment Classes for Commercial Packaged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SGHW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SOHW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LGHW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LGST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LOHW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&gt;2,500kBtu/h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10,000kBtu/h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&gt;10,000kBtu/h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VLGHW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&gt;10,000kBtu/h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VLGST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&gt;10,000kBtu/h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VLOHW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&gt;10,000kBtu/h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VLOST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w:t>
            </w:r>
          </w:p>
        </w:tc>
        <w:tc>
          <w:tcPr>
            <w:tcW w:w="22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existing small, gas-fired, steam, natural draft equipment classes and small, gas-fired steam, all except natural draft equipment classes are proposed to be consolidated into a single small gas-fired, steam equipment class. Similarly, the existing large, gas-fired, steam, natural draft equipment classes and large, gas-fired steam, all except natural draft equipment classes are proposed to be consolidated into a single large, gas-fired, steam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proposes to establish separate equipment classes for CPB with fuel input rate above 10,000kBtu/h.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two issues discussed previously in this section, DOE received several comments in response to the preliminary analysis related to standby mode and off mode energy consumption. In chapter 2 of the preliminary analysis TSD, DOE reported that standby mode and off mode energy consumption is a negligible proportion of the total energy consumption of the commercial packaged boiler (about 0.02 percent of total energy used). Consequently, DOE decided in the preliminary analysis not to analyze standards for commercial packaged boilers to regulate their standby mode and off mode energy consumption. AHRI, Raypak, and Lochinvar supported DOE's preliminary findings on the standby mode and off mode energy consumption and discouraged DOE from pursuing the development of standards for these modes of operation. (AHRI, No. 37 at p. 2; Raypak, No. 35 at p. 2; Lochinvar, No. 34 at p. 2) Lochinvar stated that the data on standby mode and off mode is very </w:t>
      </w:r>
      <w:r>
        <w:rPr>
          <w:rFonts w:ascii="arial" w:eastAsia="arial" w:hAnsi="arial" w:cs="arial"/>
          <w:b/>
          <w:i w:val="0"/>
          <w:strike w:val="0"/>
          <w:noProof w:val="0"/>
          <w:color w:val="000000"/>
          <w:position w:val="0"/>
          <w:sz w:val="20"/>
          <w:u w:val="none"/>
          <w:vertAlign w:val="baseline"/>
        </w:rPr>
        <w:t> [*15853] </w:t>
      </w:r>
      <w:r>
        <w:rPr>
          <w:rFonts w:ascii="arial" w:eastAsia="arial" w:hAnsi="arial" w:cs="arial"/>
          <w:b w:val="0"/>
          <w:i w:val="0"/>
          <w:strike w:val="0"/>
          <w:noProof w:val="0"/>
          <w:color w:val="000000"/>
          <w:position w:val="0"/>
          <w:sz w:val="20"/>
          <w:u w:val="none"/>
          <w:vertAlign w:val="baseline"/>
        </w:rPr>
        <w:t xml:space="preserve"> limited because its measurement is not required and based on measurements conducted on their commercial hot water boilers, the standby mode power consumption was found to be 0.007 percent of the total power consumed by the boiler. (Lochinvar, No. 34 at p. 2) ABMA urged DOE not to consider standby and off cycles or the energy consumed in different operational modes, stating that there are multiple variables related to system design, set-up, and operation for a one-size fits all rule. (ABMA, No. 33 at p. 2) No interested parties commented in support of standby mode and off mode standards, and DOE did not receive any new standby loss or off mode energy consumption data that would cause DOE to reverse its previous tentative conclusion. Therefore, DOE has not conducted any further analysis of potential standby mode and off mode energy conservation standards for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rulemaking analysis, DOE identifies technology options that are currently used in commercial packaged boilers at different efficiency levels available on the market. This helps DOE to assess the technology changes that would be required to increase the efficiency of a commercial packaged boiler from baseline to other higher efficiency levels. Initially, these technologies encompass all those DOE believes are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starting point, DOE typically uses information relating to existing and past technology options as inputs to determine what technologies manufacturers use to attain higher performance levels. DOE also researches emerging technologies that have been demonstrated in prototype designs. DOE developed its list of technologically feasible design options for the considered equipment through consultation with manufacturers, including manufacturers of components and systems, and from trade publications and technical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a list of technologies for improving the efficiency of commercial packaged boilers. Based on comments received in response to the preliminary analysis (discussed in detail in section IV.B of this document), DOE retained all the technology options that were identified in the preliminary analysis. However, for "pulse combustion burners," DOE is now considering the technology as a path to achieve condensing operation and categorizing it as a condensing boiler design. Additionally, in research for the NOPR, DOE identified a new technology option: oxygen trim system. The technology options that DOE identified for this NOPR analysis are listed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IV.3--Technology Options That Improve Combustion Efficiency or Thermal</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That are Considered in the Market and Technology Assessment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Jacket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Exchanger Improvements (Including Condensing Heat Exchanger).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Burner Derating.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Burner Technology.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Air Preheaters.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Economizers.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Blowdown Waste Heat Recovery.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 Trim Systems.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High-Efficiency Steam Boilers.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identified the technologies that might improve the energy efficiency of commercial packaged boilers, DOE conducted a screening analysis. The goal of the screening analysis is to identify technology options that will be considered further, and those that will be eliminated from further consideration, in the rulemaking analyses. DOE applied the following set of screening criteria to each of the technologies identified in the technology assessment to determine which technology options are unsuitable for further consideration in the rulemaking:</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will consider technologies incorporated in commercial products or in working prototypes to be technologically feasible.</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and reliable installation and servicing of a technology in commercial products could be achieved on the scale necessary to serve the relevant market at the time the standard comes into effect, then DOE will consider that technology practicable to manufacture, install, and service.</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product utility or equipment availability:</w:t>
      </w:r>
      <w:r>
        <w:rPr>
          <w:rFonts w:ascii="arial" w:eastAsia="arial" w:hAnsi="arial" w:cs="arial"/>
          <w:b w:val="0"/>
          <w:i w:val="0"/>
          <w:strike w:val="0"/>
          <w:noProof w:val="0"/>
          <w:color w:val="000000"/>
          <w:position w:val="0"/>
          <w:sz w:val="20"/>
          <w:u w:val="none"/>
          <w:vertAlign w:val="baseline"/>
        </w:rPr>
        <w:t xml:space="preserve"> If DOE determines a technology would have a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consider this technology further.</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will have significant adverse impacts on health or safety,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notes that these screening criteria do not directly address the propriety status of design options. DOE only considers efficiency levels achieved through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TSD, DOE applied the screening criteria to the technology options that were considered in the market and technology assessment and sought comments and feedback on the technology options that passed the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general comments on the options that passed the screening analysis in the preliminary analysis TSD chapter. Lochinvar agreed with technology options that passed the screening test, noting that the options identified are technologically feasible. (Lochinvar, No. 34 at p. 2) AHRI and Raypak agreed with the technology options that successfully passed the screening analysis, with the exception of pulse combustion (as discussed in further detail later in this section). (AHRI, No. 37 at p. 3; Raypak No. 35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commented that the deficiencies in the current test procedure have led to the exclusion of modulating gas burners as an efficiency improving technology. (ACEEE, Public Meeting Transcript, No. 39 at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modulating boilers, DOE notes that in the equipment database it found several CPB models at baseline and near baseline efficiency levels that utilize a modulating burner. As noted by ACEEE, the test procedure currently does not provide an efficiency advantage for modulating burners. DOE notes that the February 2016 test procedure NOPR also does not provide an efficiency benefit for the inclusion of a modulating burner for reasons explained further in that notice. As a result, DOE did not consider modulating burners as a technology option for improving the efficiency of commercial packaged boilers for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options that were identified in the market and technology assessment are presented immediately below, along with whether or not the technology was ultimately considered further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Jacket Insulation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Optimizing jacket insulation thickness reduces the heat loss from commercial packaged boiler to the </w:t>
      </w:r>
      <w:r>
        <w:rPr>
          <w:rFonts w:ascii="arial" w:eastAsia="arial" w:hAnsi="arial" w:cs="arial"/>
          <w:b/>
          <w:i w:val="0"/>
          <w:strike w:val="0"/>
          <w:noProof w:val="0"/>
          <w:color w:val="000000"/>
          <w:position w:val="0"/>
          <w:sz w:val="20"/>
          <w:u w:val="none"/>
          <w:vertAlign w:val="baseline"/>
        </w:rPr>
        <w:t> [*15854] </w:t>
      </w:r>
      <w:r>
        <w:rPr>
          <w:rFonts w:ascii="arial" w:eastAsia="arial" w:hAnsi="arial" w:cs="arial"/>
          <w:b w:val="0"/>
          <w:i w:val="0"/>
          <w:strike w:val="0"/>
          <w:noProof w:val="0"/>
          <w:color w:val="000000"/>
          <w:position w:val="0"/>
          <w:sz w:val="20"/>
          <w:u w:val="none"/>
          <w:vertAlign w:val="baseline"/>
        </w:rPr>
        <w:t xml:space="preserve"> outside air. However, most manufacturers already use this technology option and the potential benefits of using this option are a minimal increase in thermal efficiency. Consequently, DOE did not consider this technology option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Exchanger Improvements (Including Condensing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several heat exchanger improvement options that can increase thermal and combustion efficiencies of commercial packaged boilers. These options include incorporation of baffles and turbulators; improved fin designs such as micro-fins and louvered fins; improved tube designs such as corrugated tubes and internally rifled tubes; and addition of a condensing heat exchanger. In response to these technology options, Lochinvar commented that options such as increased heat exchanger surface area, baffles and creative pin/fin arrangements are all viable options for natural draft boilers and have been implemented by manufacturers for decades. Lochinvar also stated that DOE needs to consider that design changes are complex and often involve significant redesign to achieve efficiency targets without sacrificing safety and reliability. (Lochinvar, No. 34 at p. 2) Raypak commented that consideration of any additional restrictions of the heat exchanger must be balanced with the need to ensure safe operation and venting. (Raypak No. 35 at p. 2) AHRI commented that DOE must avoid considering heat exchanger designs that are so restrictive that they adversely affect safe operation and venting of the boiler. (AHRI, No. 37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comments and examined whether the extent of heat exchanger improvements considered are restrictive such that any of these options would potentially adversely impact safe operation and venting of the commercial packaged boiler. In considering improved heat exchanger designs, DOE focused on technology options that are currently being used by commercial packaged boilers available on the market, as a vast array of heat exchanger designs and efficiencies was observed. DOE examined product literature and operation manuals and is not aware of potential safety concerns for commercial packaged boilers with heat exchanger designs that achieve the efficiency levels analyzed in this NOPR. Where upgraded venting is required for potential condensate formation in the vent piping, DOE considered such cost in its analysis of installation costs (see section IV.F.2 of this document). Consequently, the technology option of heat exchanger improvements passed the screening analysis and is considered as a design option to improve CPB thermal or combustion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Burner Derating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Burner derating increases the ratio of the heat transfer area to fuel input by reducing the burner input rating while maintaining the same heat exchanger, which can increase the thermal efficiency of commercial packaged boilers. In the preliminary analysis public meeting, AHRI commented that burner derating has already been used by the industry to achieve the current efficiency standards, so there is not much more potential for this option to further improve efficiency. (AHRI, Public Meeting Transcript, No. 39 at pp.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preliminary analysis, DOE proposes to screen out burner derating as it reduces the usable heat output, and would reduce utility. Therefore, DOE did not consider this technology option further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Burner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Burner technologies that were considered under this technology option include pulse combustion, premix burners and low pressure, air atomized oil burners. In the preliminary analysis TSD, all three burner technology options passed the screening analysis and were considered as options to improve thermal and combustion efficiency. In response to the inclusion of the three burner technologies, AHRI and Raypak commented that they do not consider pulse combustion as a technology option. Raypak stated that it views pulse combustion more as a fundamental aspect of the boiler design comparable to whether the boiler is water tube or fire tube. (Raypak No. 35 at p. 2) AHRI also stated pulse combustion is one way to create a boiler that condenses. (AHRI, No. 37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discussed above, DOE has re-classified pulse combustion as a type of condensing boiler technology, rather than a design option that would be applied to a less efficient boiler to make it more efficient. In the screening analysis of the NOPR TSD, DOE included pulse combustion under heat exchanger improvement technology options and premix burners and low pressure air atomized oil burners under improved burner technology options. All three technology options passed the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Air Preheaters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air pre heaters use a gas to gas heat exchanger to transfer heat from the flue gases to the incoming combustion air. Although this option can increase the operating efficiency of a commercial packaged boiler in the field, this efficiency is not measured by the current test procedure, because the current test procedure requires inlet air to be within +/- 5 [degrees] F of the room ambient temperature. Therefore, DOE did not consider this technology option further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Economizers are gas to water heat exchangers that are used to transfer residual heat in the flue gases to the inlet water to the commercial packaged boiler. Unlike a condensing commercial packaged boiler that operates on the same principle, economizers are used as an add-on to the existing commercial packaged boilers and improve efficiency by pre heating the incoming water before it enters the primary heat exchanger. Although this technology option has the potential to improve efficiency by reducing the fuel input required to heat the water, the improvement in efficiency is not measured by the current test procedure, because the current test procedure requires the inlet water to have a set temperature before it enters the primary heat exchanger of the commercial packaged boiler. Therefore, DOE did not consider economizers as a technology option for improving commercial packaged boiler efficiency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Blowdown Waste Heat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large commercial steam boilers require a blowdown operation to remove dissolved solids and salts that are left behind after the boiling process. These solids are usually dissolved in water that is hot and can be utilized to pre heat incoming water before it enters the primary heat exchanger of the commercial packaged boiler. Although this option can improve operating efficiency, measurement of the improvement in efficiency can only occur is there is sufficient deposit left behind in the boiler after continuous boiler operation. The current DOE test procedure is a laboratory based test that uses a commercial packaged boiler that is not previously installed or commissioned. During the test, the commercial packaged boiler will not be able to extract the waste heat from a blowdown operation. Therefore, DOE did not consider blowdown waste heat recovery further in the analysis. </w:t>
      </w:r>
      <w:r>
        <w:rPr>
          <w:rFonts w:ascii="arial" w:eastAsia="arial" w:hAnsi="arial" w:cs="arial"/>
          <w:b/>
          <w:i w:val="0"/>
          <w:strike w:val="0"/>
          <w:noProof w:val="0"/>
          <w:color w:val="000000"/>
          <w:position w:val="0"/>
          <w:sz w:val="20"/>
          <w:u w:val="none"/>
          <w:vertAlign w:val="baseline"/>
        </w:rPr>
        <w:t> [*15855]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Oxygen Trim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added this technology option in the market and technology assessment chapter at the NOPR stage of the rulemaking. An oxygen "trim" system is a control strategy that can be used to minimize excess combustion air and optimize the air-to-fuel ratio. These systems can increase efficiencies by 1 to 2 percentage points. This option passed the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the following technology options were found to have an impact on the rated efficiency metric and passed the screening analysis to be considered further in the downstream analyses: (1) Heat exchanger improvements (including condensing heat exchanger), (2) improvement in burner technology, and (3) oxygen trim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establishes the relationship between manufacturer selling prices (MSP) and energy-efficiency of commercial packaged boilers. This price-efficiency relationship serves as a basis for subsequent cost-benefit calculations for individual consumers, manufacturers, and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this price-efficiency relationship, DOE uses data from the market and technology assessment, publicly available equipment literature and research reports, and information from manufacturers, distributors, and contractors. For this rulemaking, DOE first used information from the market and technology assessment to identify efficiency levels and representative equipment for analysis. In the market assessment DOE compiled a set of data containing the rated performance information and various characteristics of all CPB equipment available on the market. In the engineering analysis DOE refers to this as the "equipment database". The equipment database contains all commercial packaged boilers that are listed in AHRI's Directory of Certified Product Performance n31 and commercial packaged boilers that are manufactured by members of ABMA. In the engineering analysis, DOE collected CPB prices primarily from manufacturers, mechanical contractors, and equipment distributors. DOE tabulated all of the price data in a separate database, which is referred to as the "prices database."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AHRI's Directory of Certified Product Performance can be found at: </w:t>
      </w:r>
      <w:hyperlink r:id="rId35"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identified three basic methods for developing price-efficiency curves: (1) The design-option approach, which provides the incremental manufacturing costs of adding design options to a baseline model that will improve its efficiency; (2) the efficiency-level approach, which provides the incremental price of moving to higher efficiency levels without regard to any particular design option; (3) the reverse-engineering (or cost-assessment) approach, which provides "bottom-up" manufacturing cost assessments for achieving various levels of increased efficiency based on teardown analyses (or physical teardowns) providing detailed data on costs for parts and material, labor, shipping/packaging, and investment for models that operate at particular efficiency levels.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term cost' refers to the manufacturing cost, while the term price' refers to the manufacturer selling price. In some of the engineering analysis approaches DOE calculates the manufacturing cost which is multiplied with the appropriate markups to get the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rulemaking, DOE has decided to use the efficiency-level approach to conduct the engineering analysis. This methodology generally involves calculating prices of commercial packaged boilers for a given fuel input rate (representative fuel input rate) for each manufacturer at different efficiency levels spanning from the minimum allowable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baseline level) to the maximum technologically feasible efficiency level. The primary output of the analysis is a set of price-efficiency relationships that represent the average change in manufacturer selling price for higher efficiency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"incremental price"). In the subsequent markups analysis (chapter 6 in the NOPR TSD), DOE determines customer prices by applying additional distribution chain markups and sales tax to the manufacturer selling prices developed in the engineering analysis. After applying these markups, the data serve as inputs to the life-cycle cost and payback period analyses (chapter 8 in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as noted previously, DOE classified commercial packaged boilers into sixteen equipment classes and analyzed each class separately. DOE received CPB price information for several mechanical draft equipment classes that was sufficient to develop a price-efficiency trend. However, DOE was unable to collect sufficient pricing data to develop a price-efficiency trend for the condensing efficiency levels, and the large mechanical draft steam and all natural draft equipment classes, and instead relied on alternate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for the classes that had sufficient price data, DOE calculated the incremental increase in price at each efficiency level analyzed for each manufacturer at the representative fuel input rate, and then took an average of these price at each efficiency level to get the final price efficiency curve for all equipment classes. For the other equipment classes that did not have adequate pricing information, DOE used alternate methods of calculating incremental prices. These methods include extrapolation of price efficiency curves or actual pricing data to other equipment classes. DOE requested comments and feedback from interested parties on various aspects of the engineering analysis performed for the preliminary analysis, and specifically on the methodology and results. In response, DOE received several comments, which are discussed further in the following applicable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as discussed in section IV.C.2 of this document, DOE was able to obtain more pricing information than it had for the preliminary analysis. As a result, DOE updated its approach for several equipment classes to include a direct analysis of that class using only pricing data obtained for that class. DOE also improved its methodology to account for the difference in equipment price as a function of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for each price obtained, DOE first calculated the ratio of the price of the commercial packaged boiler with respect to its fuel input rate to obtain all prices on a per unit fuel input rate basis (dollars per kBtu/h). DOE then used its equipment database to determine and apply appropriate weights to individual prices (on a per fuel input rate basis) based on the distribution of input capacities on the market. The weight given to each CPB price per fuel input rate represents the number of commercial packaged boilers of that fuel input rate available in the market. Thus, price per fuel input rate of models that are similar in capacity to higher numbers of models on the market were weighted more heavily than price per fuel input rate of models at a fuel input rate for which relatively few models are available. DOE applied these weights to calculate the weighted average price per fuel input rate and the weighted average fuel input rate for each efficiency level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DOE scaled the weighted average price (on a per fuel input rate basis) at each efficiency level from the weighted average fuel input rate (at </w:t>
      </w:r>
      <w:r>
        <w:rPr>
          <w:rFonts w:ascii="arial" w:eastAsia="arial" w:hAnsi="arial" w:cs="arial"/>
          <w:b/>
          <w:i w:val="0"/>
          <w:strike w:val="0"/>
          <w:noProof w:val="0"/>
          <w:color w:val="000000"/>
          <w:position w:val="0"/>
          <w:sz w:val="20"/>
          <w:u w:val="none"/>
          <w:vertAlign w:val="baseline"/>
        </w:rPr>
        <w:t> [*15856] </w:t>
      </w:r>
      <w:r>
        <w:rPr>
          <w:rFonts w:ascii="arial" w:eastAsia="arial" w:hAnsi="arial" w:cs="arial"/>
          <w:b w:val="0"/>
          <w:i w:val="0"/>
          <w:strike w:val="0"/>
          <w:noProof w:val="0"/>
          <w:color w:val="000000"/>
          <w:position w:val="0"/>
          <w:sz w:val="20"/>
          <w:u w:val="none"/>
          <w:vertAlign w:val="baseline"/>
        </w:rPr>
        <w:t xml:space="preserve"> which the price was calculated in the previous step) to the representative fuel input rate for a given equipment class. To do this, DOE plotted the price per input as a function of fuel input rate and applied a non-linear regression model that best represented the trend. In these plots, it is apparent that for lower input capacities the price on a per input basis is higher, and as the fuel input rate increases, the price per input decreases. In addition, the rate of change of the price on a per-unit input basis with respect to fuel input rate also decreases considerably as the fuel input rate increases. The result is a scatter plot that appears to resemble a decreasing exponential curve. DOE applied the regression equation to determine the weighted average price per input at the representative fuel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regression analysis on the weighted average price per input results at the representative fuel input rate and the efficiency levels to deduce the equation that best represents the price-efficiency relationship. Using the regression equation, DOE calculated the predicted weighted average price per input at the representative fuel input rate for all efficiency levels that were analyzed in each equipment class. DOE then multiplied the predicted weighted average price per input at the representative fuel input rate by the representative fuel input rate to get the manufacturer selling price at each efficiency level. As a final step, DOE calculated the incremental prices by subtracting the baseline price from the manufacturer selling price of each efficiency level above the baseline. Further details on the methodology and results are provided in the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feedback on the methodology used to analyze all equipment classes and the results obtained. In particular DOE is interested in comments on whether the results are appropriate and representative of the current market prices for such type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Overall Methodology and Extrapolation of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from interested parties in response to DOE's preliminary analyses on the overall methodology that was used to develop the price-efficiency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ASAP, and NRDC noted that in other rulemakings, DOE typically constructs cost estimates by conducting teardowns and generating a Bill of Materials (BOMs); however, for the current rulemaking, DOE has not conducted any teardowns for commercial packaged boilers. The commenters stated that in contractor-installed systems such as commercial packaged boilers, prices are highly variable and may be based on factors other than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labor costs). (ACEEE, ASAP, and NRDC, No. 36 at p. 2) ASAP asked if DOE looked at the incremental costs, as opposed to incremental prices and that in looking at the incremental prices, the actual costs to improve efficiency are overestimated. (ASAP, Public Meeting Transcript No. 39 at p.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DOE has decided to use the efficiency-level approach to conduct the engineering analysis. In this approach DOE collects prices at various efficiency levels and estimates the incremental price for higher efficiency models as an average or weighted average of the commercial packaged boilers available on the market. Although DOE commonly uses a reverse-engineering approach, DOE decided not to use this approach for commercial packaged boilers due to practical concerns involved in tearing down commercial packaged boilers, especially those belonging to large equipment classes. Commercial packaged boilers exhibit a large variety of designs depending on a number of factors including, size, efficiency, fuel used, heating medium, draft type, heat exchanger design/material, and whether it is fire-tube or water-tube. In the analysis for this rulemaking, DOE collected pricing information for 584 commercial packaged boilers, which covered a range of different types of CPB equipment. Tearing down enough units to perform a reverse-engineering analysis would be extremely time intensive given the large number of CPB designs at each efficiency level and within each equipment class, and the physical size of some commercial packaged boilers. In addition, there are several practical issues involved with tearing down large commercial packaged boilers, given the size and weight of this equipment, which can require upgraded infrastructure for handling the equipment. In view of these issues, DOE felt that a pricing survey to collect information on actual CPB prices at various efficiency levels for each equipment class is a more practical methodology for conducting the engineering analysis for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ASAP, and NRDC also encouraged DOE to ensure that the estimates of incremental prices only include the incremental price associated with the technology options required to meet a given efficiency level, and not the cost of auxiliary options that are often associated with premium products but are not associated with efficiency. (ACEEE, ASAP, and NRDC, No. 36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shares the commenters' concerns regarding the incremental price options being influence by auxiliary options that are not associated with energy efficiency. To the extent possible, DOE normalized optional features when gathering pricing by specifying the same options for all CPB prices collected. For example, DOE noticed that in several CPB series, prices of burner systems are listed separately and the price of the burner system that is selected is added to the basic model trade price for the total price for the commercial packaged boiler. For such cases, DOE chose the same type of burner for all CPB models where a choice is offered. While selecting the prices DOE also encountered scenarios where (1) a feature that DOE has consistently selected for all CPB models is not offered for a particular series; and (2) a particular feature becomes inapplicable for commercial packaged boilers of higher capacity within the same CPB series. In such cases DOE selected a similar feature that would offer similar functionality. DOE believes this approach helped to minimize the effects of optional auxiliary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preliminary analysis public meeting ACEEE argued that the level field for comparing purchase options would be output capacity, and as a result it is time to migrate to output capacities, rather than input capacities, that are comparable across classes. (ACEEE, Public Meeting Transcript No. 39 at p. 44) DOE notes that in EPCA, commercial packaged boilers are defined as having "capacity (rated maximum input)" greater than or equal to 300 kBtu/h, and CPB equipment classes are currently divided based on fuel input rate. DOE notes that in adopting the existing equipment class divisions based on fuel input rate, DOE followed the approach in ASHRAE Standard 90.1 for dividing equipment based on fuel input rate. Moreover, while DOE agrees many purchasers would consider output capacity when purchasing a replacement commercial packaged boiler, DOE believes there is also a contingent of CPB purchasers that may only look at the fuel input rate for comparison purposes when choosing a new commercial packaged boiler, as both ratings are featured prominently in product literature. Therefore, DOE believes it appropriate to continue to use rated fuel input rate as the performance parameter for carrying out the analyses. </w:t>
      </w:r>
      <w:r>
        <w:rPr>
          <w:rFonts w:ascii="arial" w:eastAsia="arial" w:hAnsi="arial" w:cs="arial"/>
          <w:b/>
          <w:i w:val="0"/>
          <w:strike w:val="0"/>
          <w:noProof w:val="0"/>
          <w:color w:val="000000"/>
          <w:position w:val="0"/>
          <w:sz w:val="20"/>
          <w:u w:val="none"/>
          <w:vertAlign w:val="baseline"/>
        </w:rPr>
        <w:t> [*15857]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Large CPB Analysis and Representative Fuel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topic on which DOE received comments and feedback is related to large CPB pricing and its representative fuel input rate for analysis. AHRI commented that most of the analysis appears to be based on information for models with input rates of 5,000,000 Btu/h or less, and commercial packaged boilers that have input rates in the high millions of Btu per hour are very different products. AHRI stated that many factors that have been considered in the engineering analysis and the associated conclusions cannot be simply extrapolated up to characterize the particular factor as it applies to those very large commercial packaged boiler. (AHRI, No. 37 at p. 1) AHRI also commented that DOE should not assume a linear relationship between boiler size and component costs and encouraged DOE to review the data it has collected so far on the relationship and extrapolation between input rate and price, or obtain additional data for the analysis. (AHRI, No. 37 at p. 3 and p. 5) Raypak stated that DOE should not assume a linear relationship between commercial packaged boiler size and component costs and that as a commercial packaged boiler gets larger in input the cost of gas burner and blower components rises exponentially. (Raypak, No. 35 at pp. 2-4) Raypak also provided comments during the preliminary analysis public meeting stating that made-to-order units will be priced higher due to the engineering work necessary to create a custom boiler. (Raypak, Public Meeting Transcript, No. 39 at p.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ABMA provided written comments on the methodology used for analyzing large commercial packaged boilers. In particular, ABMA expressed concern over the large commercial packaged boilers representative fuel input rate being 3,000 kBtu/h. ABMA argued that the representative fuel input rate of 3,000 kBtu/h is one of the smallest size boilers manufactured by ABMA member manufacturers and that it does not accurately represent the large boiler market. (ABMA, No. 33 at p. 2) ABMA advocated capping the scope of the analysis to 2.5 million Btu/h. (ABMA, No. 33 at p. 2; ABMA, Public Meeting Transcript, No. 39 at p.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PGE &amp; SCE commented that the comparison of small and large sized custom made boilers is not linear and DOE should look at methods for estimating very large equipment other than simply extrapolation. Further, PGE and SCE stated their concern that the methods used to estimate energy use, equipment classes and prices for medium sized commercial boilers are not appropriate for extrapolation to large commercial custom engineered boilers. (PGE &amp; SCE, No. 38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IV.A.2, DOE has proposed to establish separate equipment classes for very large commercial packaged boilers with input capacities of greater than10,000 kBtu/h, and DOE is not considering amended standards for the proposed very large equipment classes in this rulemaking. Instead, DOE's current energy conservation standards that are set forth at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xml:space="preserve"> for commercial packaged boilers with a fuel input rate greater than 2,500 kBtu/h would continue to apply to all commercial packaged boilers that have a fuel input rate above 10,000 kBtu/h. DOE believes this addresses many concerns that the analysis does not apply to very large commercial packaged boilers. As discussed previously, DOE noticed a smooth increase in prices (devoid of any inflection) from the low fuel input rate commercial packaged boilers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near 300 kBtu/h) to the maximum fuel input rate commercial packaged boiler for which prices are available ([approx.] 9,500 kBtu/h). DOE did not observe any sudden change in the price structure within this range of fuel input rate and, based on this observation, believes its analysis would be applicable for input capacities ranging from 300 kBtu/h to 10,000 kBtu/h.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chose the representative fuel input rate in the preliminary analysis as 3,000 kBtu/h by considering CPB models offered in the market and information received during manufacturer interviews. Several commenters suggested that a fuel input rate of 3,000 kBtu/h would not be appropriate for representing very large commercial packaged boilers. However, as discussed above, for this NOPR DOE proposes to consider commercial packaged boilers with fuel input rate above 10,000 kBtu/h separately from the commercial packaged boilers in the large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&gt; 2,500 and &lt;/= 10,000 kBtu/h) equipment class (which would be represented by the 3,000 kBtu/h fuel input rate). Further, the analysis of prices included data points for prices of commercial packaged boilers with input capacities up to 9,500 kBtu/h, and DOE did not observe any step change in the price-efficiency trend up to that point. DOE did not receive any new data that would justify choosing a different representative fuel input rate for large equipment classes, and therefore has maintained the 3,000 kBtu/h representative fuel input rate for this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the price of two small commercial packaged boilers at 1,500 kBtu/h as a proxy for the price of one large 3,000 kBtu/h commercial packaged boiler, because DOE did not have sufficient price data in certain large CPB equipment classes to accurately establish the relationship between boiler size and price. In response to the preliminary analysis, DOE received comments from ACEEE, ASAP, and NRDC, questioning the accuracy of this approach. ACEEE, ASAP, and NRDC encouraged DOE to collect additional data to validate its assumption that the price of two 1,500 kBtu/h boilers is an accurate proxy for the price of a 3,000 kBtu/h boiler. The commenters elaborated that a large boiler will have only one burner, one heat exchanger, one shell, and one set of controls, possibly reducing prices for large boilers in comparison to two smaller boilers; however, there are far fewer 3,000 kBtu/h boilers sold than 1,500 kBtu/h boilers, so the allocation of design, testing, certification and other common costs will be much higher. (ACEEE, ASAP, and NRDC, No. 36 at pp. 2-3) The commenters also argued that DOE's methodology related to slope and inflection points of the efficiency curves for small gas-fired mechanical draft hot water boilers raises questions about the overall accuracy of the analysis. (ACEEE, ASAP, and NRDC, No. 36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as discussed in section IV.C.2, DOE was able to collect an additional 258 CPB prices. Despite the additional data, there were still certain efficiency levels for large CPB equipment classes where DOE lacked enough data to perform a robust analysis. Generally these were levels where there are few models available on the market to begin with. In these cases, DOE again leveraged the pricing collected for the small CPB equipment classes to estimate the price of a large commercial packaged boiler. However, in the NOPR analysis, to address the concerns expressed by stakeholders, DOE used a modified approach to calculate the price of a large commercial packaged boiler based on two or more smaller sized boilers. In this approach, DOE first combined the price data of each small and large equipment classes that have the same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oil fired hot water and large oil fired hot water classes). DOE then performed a regression analysis of the entire dataset to find an equation that represents the relationship between equipment price and fuel input rate for the given type of equipment. DOE then </w:t>
      </w:r>
      <w:r>
        <w:rPr>
          <w:rFonts w:ascii="arial" w:eastAsia="arial" w:hAnsi="arial" w:cs="arial"/>
          <w:b/>
          <w:i w:val="0"/>
          <w:strike w:val="0"/>
          <w:noProof w:val="0"/>
          <w:color w:val="000000"/>
          <w:position w:val="0"/>
          <w:sz w:val="20"/>
          <w:u w:val="none"/>
          <w:vertAlign w:val="baseline"/>
        </w:rPr>
        <w:t> [*15858] </w:t>
      </w:r>
      <w:r>
        <w:rPr>
          <w:rFonts w:ascii="arial" w:eastAsia="arial" w:hAnsi="arial" w:cs="arial"/>
          <w:b w:val="0"/>
          <w:i w:val="0"/>
          <w:strike w:val="0"/>
          <w:noProof w:val="0"/>
          <w:color w:val="000000"/>
          <w:position w:val="0"/>
          <w:sz w:val="20"/>
          <w:u w:val="none"/>
          <w:vertAlign w:val="baseline"/>
        </w:rPr>
        <w:t xml:space="preserve"> used the equation to estimate the price of a commercial packaged boiler when its size is scaled up to 3,000 kBtu/h. DOE used this modified approach for three equipment classes: (1) Large, oil-fired, hot water; (2) large, oil-fired, steam and (3) large, gas-fired, steam. The detailed methodology for the engineering analysis including the plots that show the variation of CPB price with fuel input rate are included in chapter 5 of the NOPR TSD. The new methodology adopted by DOE addresses the concerns expressed by stakeholders in their comments as it considers pricing data across a range of input capacities to estimate the change in price as input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Collection and Categorization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engineering analysis, DOE collected CPB prices from manufacturers, wholesalers, distributors and contractors. In the preliminary analysis, DOE collected pricing data, but as discussed previously was able to conduct a direct analysis of only six equipment classes: (1) Small, gas-fired, mechanical draft hot water; (2) large, gas-fired, mechanical draft hot water; (3) small, oil-fired, mechanical draft, hot water; (4) large, oil-fired, mechanical draft, hot water; (5) small, gas-fired, mechanical draft, steam; and (6) small, oil-fired, mechanical draft, steam. For the remaining classes, DOE did not have enough data to analyze the equipment directly, and consequently relied upon extrapolation of results from the equipment classes with adequate pricing information. In response to the preliminary analysis, DOE received several comments urging DOE to collect additional data for the NOPR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ASAP, and NRDC commented that the limited amount of price data available for classes other than small, gas-fired, mechanical draft boilers forces DOE to rely on very uncertain extrapolations. The commenters encouraged DOE to collect additional price data to supplement its analysis, as they are concerned that the price-efficiency curves in the preliminary TSD were developed using a limited data set that may yield inaccurate results. Further the commenters also expressed concern that the analysis does not contain any information about the number of individuals surveyed, number of useful results, etc. (ACEEE, ASAP, and NRDC, No. 36 at p. 2) ACEEE, ASAP, and NRDC encouraged DOE to collect additional price data through interviews with and surveys of those who write specifications (consulting engineers and others) and those who bid on projects (mechanical contractors). The commenters also suggested DOE could obtain data on CPB purchases by the Federal government. Finally, ACEEE, ASAP, and NRDC stated that DOE should ensure that the data reflects the prices that consumers are actually paying as opposed to the "list" price that are widely discounted in actual bids (ACEEE, ASAP, and NRDC, No. 36 at p. 3) AHRI and Raypak encouraged DOE to contact additional contractors and others involved in selling and installing commercial packaged boilers to obtain more prices for natural draft models. (AHRI, No. 37 at p. 3; Raypak, No. 35 at p. 2) PGE and SCE recommended that DOE pursue other options for obtaining sales and price figures for commercial boilers that will generate more accurate results, and suggested the use of use market surveys or working with industry to gain insight into costs for larger boiler equipment. PGE and SCE also recommended that DOE explore California's Database of Energy Efficiency Resources for incremental costs of commercial boilers. (PGE &amp; SCE, No. 38 at p. 3) ACEEE commented during the public meeting that the Building Services Research and Information Association (BSRIA) is a resource that has done cost comparisons, including condensing boilers, and various commercial sizes. ACEEE also suggested reviewing the comments from the transcripts of negotiated rulemaking of 2013 on certification, compliance, and enforcement (CCE) where many CPB manufacturers were represented. (ACEEE, Public Meeting Transcript No. 39 at p.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explored the suggestions provided by stakeholders, and found that the most reliable and complete price information was obtained directly from manufacturers, contractors, and distributors. DOE was able to collect a significant number of additional CPB prices in the NOPR stage, which were used to conduct a direct analysis of each equipment class. This eliminated the need to extrapolate price results between two different equipment classes, addressing the concerns of ACEEE, ASAP, and NRDC.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ACEEE, ASAP, and NRDC that the list price is different from the actual manufacturer selling price and that this should be accounted for in the analysis. DOE accounted for this in both the preliminary analysis and in this NOPR analysis. A distributor or wholesaler is usually the first consumer in the distribution chain and typically receives a discount compared to the list price when purchasing equipment from the manufacturer. This discount varies by manufacturer and also depends on the business relationship between the manufacturer and the purchaser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discount may vary depending on the volume of units that a distributor or contractor purchases). While collecting price data, DOE also obtained information on typical discounts given from the list pricing, and applied the average discount to list prices to obtain the actual manufacturer selling price. All manufacturer selling prices used in the engineering analysis include the appropriate discount to the list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used prices collected in the preliminary analysis stage with additional CPB prices that were collected in the NOPR stage. n33 In total, DOE was able to obtain prices for a variety of commercial packaged boilers. These commercial packaged boilers included mechanical draft, natural (or atmospheric) draft, condensing boilers and non-condensing boilers. And their input capacities ranged from 300 kBtu/h to 9,500 kBtu/h. In aggregate, DOE used 584 CPB prices for its analysis. The 584 prices include 326 CPB prices that were used in the preliminary analysis stage and 258 that were collected in the NOPR stage of the rulemaking. The Table IV.4 shows the number of CPB prices that DOE used in the engineering analysis in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For the prices used from the preliminary analysis stage, DOE first confirmed the models were still active and then updated the price to account for inflation.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IV.4--Number of Prices Collected for Engineering Analysis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prices used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analysis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SGHW</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LGHW</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LOHW</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LGST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Baseline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selects baseline efficiency levels as reference points for each equipment class, against which DOE calculates potential changes in energy use, cost, and utility that could result from an amended energy conservation standard. A baseline unit is one that meets, but does not exceed, the required existing energy conservation standard, as applicable, and provides basic consumer utility. A CPB model that has a rated efficiency equal to its applicable </w:t>
      </w:r>
      <w:r>
        <w:rPr>
          <w:rFonts w:ascii="arial" w:eastAsia="arial" w:hAnsi="arial" w:cs="arial"/>
          <w:b/>
          <w:i w:val="0"/>
          <w:strike w:val="0"/>
          <w:noProof w:val="0"/>
          <w:color w:val="000000"/>
          <w:position w:val="0"/>
          <w:sz w:val="20"/>
          <w:u w:val="none"/>
          <w:vertAlign w:val="baseline"/>
        </w:rPr>
        <w:t> [*15859] </w:t>
      </w:r>
      <w:r>
        <w:rPr>
          <w:rFonts w:ascii="arial" w:eastAsia="arial" w:hAnsi="arial" w:cs="arial"/>
          <w:b w:val="0"/>
          <w:i w:val="0"/>
          <w:strike w:val="0"/>
          <w:noProof w:val="0"/>
          <w:color w:val="000000"/>
          <w:position w:val="0"/>
          <w:sz w:val="20"/>
          <w:u w:val="none"/>
          <w:vertAlign w:val="baseline"/>
        </w:rPr>
        <w:t xml:space="preserve"> baseline efficiency is referred to as a "baseline model." DOE uses the baseline model for comparison in several phases of the analyses, including the engineering analysis, life-cycle cost (LCC) analysis, payback period (PBP) analysis and national impacts analysis (NIA). For the engineering analysis, DOE used the current energy conservation standards that are set forth in CFR 431.87 as baseline efficiency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in section IV.A.2 of this document, DOE has proposed to modify the equipment classes for commercial packaged boilers for this analysis. If the proposed equipment classes are ultimately adopted in the final rule, then the equipment classes that are set forth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consolidated such that the current draft-specific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identified as being "natural draft" and "all except natural draft") would be merged into non-draft-specific classes. For the remaining equipment classes, DOE retained the current standards in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xml:space="preserve"> as the baseline efficiency levels in the engineering analysis. For the four draft-specific classes, DOE used the natural draft equipment class efficiency standard as the baseline efficiency level. The baseline efficiency levels for each equipment class are presented in Table IV.5.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IV.5--Baseline Efficiencies Considered in the Engineering Analysis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fired Hot 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fired Hot 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fired Hot 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fired Hot Water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fired Steam</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77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fired Steam</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77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fired Steam</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fired Steam</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levels represent thermal efficiency for all equipment classes except for Large Gas Hot Water and Large Oil Hot Water, for which the efficiency levels are in terms of combustion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**Mechanical draft equipment within this class currently has a minimum standard of 79 percent thermal efficiency. (</w:t>
      </w:r>
      <w:hyperlink r:id="rId34" w:history="1">
        <w:r>
          <w:rPr>
            <w:rFonts w:ascii="arial" w:eastAsia="arial" w:hAnsi="arial" w:cs="arial"/>
            <w:b w:val="0"/>
            <w:i/>
            <w:strike w:val="0"/>
            <w:noProof w:val="0"/>
            <w:color w:val="0077CC"/>
            <w:position w:val="0"/>
            <w:sz w:val="20"/>
            <w:u w:val="single"/>
            <w:vertAlign w:val="baseline"/>
          </w:rPr>
          <w:t>10 CFR 431.87</w:t>
        </w:r>
      </w:hyperlink>
      <w:r>
        <w:rPr>
          <w:rFonts w:ascii="arial" w:eastAsia="arial" w:hAnsi="arial" w:cs="arial"/>
          <w:b w:val="0"/>
          <w:i w:val="0"/>
          <w:strike w:val="0"/>
          <w:noProof w:val="0"/>
          <w:color w:val="000000"/>
          <w:position w:val="0"/>
          <w:sz w:val="20"/>
          <w:u w:val="none"/>
          <w:vertAlign w:val="baseline"/>
        </w:rPr>
        <w:t>) All equipment analyzed below 79 percent is natural draft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Intermediate and Max-tech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engineering analysis, DOE determined the maximum technologically feasible ("max-tech") improvement in energy efficiency for each equipment class of commercial packaged boilers. DOE surveyed the CPB market and the research literature relevant to commercial packaged boilers to determine the max-tech efficiency levels. Additionally, for each equipment class, DOE generally identifies several intermediate efficiency levels between the baseline efficiency level and max-tech efficiency level. These efficiency levels typically represent the most common efficiencies available on the market or a major design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switching to a condensing heat exchanger). In the analysis, DOE uses the intermediate and max-tech efficiency levels as target efficiencies for conducting the cost-benefit analysis of achieving increased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market assessment, DOE conducted an extensive review of publicly available CPB equipment literature. DOE used the equipment database compiled during the market assessment to identify intermediate and max-tech efficiency levels for analysis. The efficiency levels for each equipment class that DOE considered in the NOPR TSD are presented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IV.6--Baseline, Intermediate and Max Tech Efficiency Levels Analyzed in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Engineering Analysis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EL-7 Max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 Max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EL-6 Max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 Max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 Max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EL-6 Max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 Max 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 Max Tech.</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levels represent thermal efficiency for all equipment classes except for Large Gas Hot Water and Large Oil Hot Water, for which the efficiency levels are in terms of combustion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selected several efficiency levels for consideration in the analysis, many of which were retained in this NOPR. In response to the preliminary analysis, ACEEE, ASAP, and NRDC encouraged DOE to evaluate at the least one additional condensing level for the small, oil-fired, mechanical draft, hot water and the large, oil-fired, mechanical draft, hot water equipment classes at a level that could be considered "baseline" condensing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 levels at or just above 90%). (ACEEE, ASAP, and NRDC, No. 36 at p. 4) During the preliminary analysis public meeting, AHRI also noted the absence of an interim point for some classes, particularly referring to the small oil mechanical draft hot water class. However, in continuation, AHRI also noted that making a condensing oil boiler has many challenges. (AHRI, Public Meeting Transcript, No. 39 at p. 41) In the public meeting ACEEE also commented that the inclusion of low-level condensing product in the analysis will illustrate the challenges faced in marketing such a product, at a cost-effective price and encouraged DOE to explore additional intermediate levels for this reason. (ACEEE, Public Meeting Transcript, No. 39 at p. 43) DOE notes that in the preliminary analysis for small oil fired mechanical draft hot water equipment class there was an eleven percentage point jump between the efficiency level just below max-tech and max tech. Similarly, for the large oil-fired mechanical draft hot water equipment class, there was a 9 percentage point jump.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these comments carefully and examined whether there is a need to add interim condensing efficiency levels between max-tech and the level below max tech in the oil-fired hot water CPB equipment classes. While selecting intermediate efficiency levels for this rulemaking, DOE examined the distribution of commercial packaged boilers available in the market at all efficiency levels. n34 DOE then, selected several intermediate efficiency levels that have a substantial representation of commercial packaged boilers in the market. In the case of oil-fired hot water equipment classes, the large equipment class has three commercial packaged boilers and the small equipment class has one commercial packaged boiler that achieve efficiencies that require condensing operation. The one small condensing boiler has a thermal efficiency of 96.8% while the three large condensing boilers have combustion efficiencies of 95.8%, 96.9% and 97%. Based on this assessment, there appears to be no oil-fired hot water condensing boilers in the market with efficiency less than 95% that could potentially serve as a baseline for condensing efficiency levels. In addition, DOE also agrees with the commenters that there are significant challenges involved in designing and operating oil-fired condensing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efficiency levels refer to combustion efficiency for large hot water equipment classes and thermal efficiency for all other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absence of such boilers available in the market and the challenges and uncertainties inherent to analyzing a product that does not exist, DOE has decided not to analyze additional interim condensing efficiency levels below max-tech for the oil-fired hot water equipment classes. DOE believes the consideration of the max-tech levels in these classes, which include condensing technology, are adequate for determining the cost-effectiveness of condensing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for the small gas-fired hot water equipment class, efficiency levels of 93 percent and 95 percent were included in the analysis and represent interim condensing efficiency levels. Similarly, for the large gas-fired hot water equipment class, DOE has analyzed 94 percent as an interim condensing efficiency level below the max-tech. For these classes, the availability of commercial packaged boilers at these efficiency levels in the dataset in sufficiently large numbers justifies DOE's selection of intermediate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Incremental Price and Price-Efficiency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results of the engineering analysis are a set of price-efficiency curves that represent the manufacturer selling price for higher efficiency models. DOE uses these results as inputs to the downstream analyses such as the life cycle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on the incremental price results and the price-efficiency curves published in the preliminary analysis TSD. Lochinvar commented that the variation in manufacturing cost and the markup at each stage of distribution makes an accurate projection of incremental costs difficult, but that the methodology seems sound. Lochinvar also stated that the projected cost to the consumer appears to be a little high (5-10%) across the board and suggested a modest underestimation of markup as a reason. (Lochinvar, No. 34 at p. 2) ACEEE, ASAP, and NRDC commented that DOE's results for condensing efficiency levels of small gas mechanical draft hot water equipment class appear to be inconsistent with DOE's statements that </w:t>
      </w:r>
      <w:r>
        <w:rPr>
          <w:rFonts w:ascii="arial" w:eastAsia="arial" w:hAnsi="arial" w:cs="arial"/>
          <w:b/>
          <w:i w:val="0"/>
          <w:strike w:val="0"/>
          <w:noProof w:val="0"/>
          <w:color w:val="000000"/>
          <w:position w:val="0"/>
          <w:sz w:val="20"/>
          <w:u w:val="none"/>
          <w:vertAlign w:val="baseline"/>
        </w:rPr>
        <w:t> [*15861] </w:t>
      </w:r>
      <w:r>
        <w:rPr>
          <w:rFonts w:ascii="arial" w:eastAsia="arial" w:hAnsi="arial" w:cs="arial"/>
          <w:b w:val="0"/>
          <w:i w:val="0"/>
          <w:strike w:val="0"/>
          <w:noProof w:val="0"/>
          <w:color w:val="000000"/>
          <w:position w:val="0"/>
          <w:sz w:val="20"/>
          <w:u w:val="none"/>
          <w:vertAlign w:val="baseline"/>
        </w:rPr>
        <w:t xml:space="preserve"> there is generally a step change in price from a non-condensing boiler to a condensing boiler. (ACEEE, ASAP, and NRDC, No. 36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Lochinvar's comments comparing the results to their own pricing, but also notes that the analysis performed covered a wide variety of manufacturers and CPB models. Thus, DOE does not believe that a 5- to 10-percent variation from Lochinvar's results would be unexpected, as each individual manufacturer will set its prices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examined the issue regarding the step change in prices of condensing boilers. More specifically, DOE investigated why there exists a relatively flatter trend in the incremental prices when going from non-condensing efficiency levels to condensing efficiency levels given the step change in technology from non-condensing to condensing. From the pricing data collected for small gas-fired hot water commercial packaged boilers, it is evident that the price of a commercial packaged boiler generally increases as it approaches the highest non-condensing efficiency levels, then displays a relatively flat trend to achieve lower condensing levels. The prices then increase as the efficiency approaches the mid-condensing efficiency levels, suggesting that achieving lower condensing levels is only slightly more costly than achieving the highest non-condensing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could be several reasons for this trend. First, commercial packaged boilers achieving efficiencies at the highest end of the non-condensing range sometimes incorporate designs that anticipate formation of condensate under certain conditions, such as high-grade stainless steel vent connectors, which will increase the cost and price of the commercial packaged boiler. DOE also notes from the market and technology assessment that only about 5 percent of all the small gas hot water boilers have a thermal efficiency that is greater than 86 percent and less than 90 percent. The comparatively lower production volumes of these commercial packaged boilers could also contribute to the higher prices. In this NOPR, DOE is analyzing the efficiency levels 93% and 95% for the small gas hot water equipment class. These efficiency levels represent the mid-level condensing levels that are a step higher than the other non-condensing and low condensing efficiency levels. As explained in section IV.A.2 of this document, these levels were chosen due to the high number of models already available on the market at these efficiencies. The price-efficiency curves for all equipment classes including small gas hot water are shown in chapter 5 of the NOPR TSD. Table IV.7 shows the incremental manufacturer selling price results for all eight equipment classes along with the baseline prices.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IV.7--Manufacturer Selling Price-Efficiency Results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MSP</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MSP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Hot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Hot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8,544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Hot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Hot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49,923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Steam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6,521</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Tech--87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10,590</w:t>
            </w: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retailer markups, distributer markups, contractor markups, and sales taxes) to convert the estimates of manufacturer selling price derived in the engineering analysis to consumer prices ("consumer" refers to purchasers of the equipment being regulated), which are then used in the LCC and PBP analysis and in the manufacturer impact analysis. DOE develops baseline and incremental markups based on the equipment markups at each step in the distribution chain. For this rulemaking, DOE developed distribution chain markups in the form of multipliers that represent increases above equipment purchase costs for key market participants, including CPB wholesalers/distributors, and mechanical contractors and general contractors working on behalf of CPB consumers. The baseline markup relates the change in the manufacturer selling price of baseline models to the change in the consumer purchase price. The incremental markup relates the change in the manufacturer selling price of higher efficiency models (the incremental cost increase) to the change in the consumer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different markets exist for commercial packaged boilers: (1) New construction in the residential buildings sector, (2) new construction in the commercial buildings sector, (3) replacements in the residential buildings sector, and (4) replacements in the commercial buildings sector. In the preliminary analyses, DOE characterized eight distribution channels to address these four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the residential and commercial buildings sectors, DOE characterizes the replacement distribution channels as follows: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Consumer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Manufacturer Representative --&gt; Mechanical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characterizes the new construction distribution channels for both the residential and commercial buildings sectors as follows: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General Contractor --&gt; Consumer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Manufacturer Representative --&gt; Mechanical Contractor --&gt; General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distribution channels, there are scenarios in which manufacturers sell commercial packaged boilers directly to a consumer through a national account (assumed as 17.5% of sales in the preliminary analysis; other distribution channels previously discussed make up the remaining 82.5% market share). These scenarios occur in both new construction and replacements markets and in both the residential and commercial sectors. The relative shares for these are dependent on product class and details may be found in chapter 6 of the TSD. In these instances, installation is typically accomplished by site personnel. These distribution channels are depicted as follows: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Commercial Consumer (National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markups for the parties involved in the distribution of the commercial packaged boilers, DOE utilized several sources, including (1) the Heating, Air-Conditioning &amp; Refrigeration Distributors International (HARDI) 2013 Profit Report n35 to develop wholesaler markups, (2) the 2005 Air Conditioning Contractors of America's (ACCA) financial analysis for the heating, ventilation, air-conditioning, and refrigeration (HVACR) contracting industry n36 to develop mechanical contractor markups, and (3) U.S. Census Bureau's 2007 Economic Census data n37 for the commercial and institutional building construction industry to develop general contractor markups. In addition to the markups, DOE derived State and local taxes from data provided by the Sales Tax Clearinghouse. n38 These data represent weighted-average taxes that include county and city rates. DOE derived shipment-weighted-average tax values for each region considered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Heating, Air Conditioning &amp; Refrigeration Distributors International 2013 Profit Report.</w:t>
      </w:r>
      <w:r>
        <w:rPr>
          <w:rFonts w:ascii="arial" w:eastAsia="arial" w:hAnsi="arial" w:cs="arial"/>
          <w:b w:val="0"/>
          <w:i w:val="0"/>
          <w:strike w:val="0"/>
          <w:noProof w:val="0"/>
          <w:color w:val="000000"/>
          <w:position w:val="0"/>
          <w:sz w:val="20"/>
          <w:u w:val="none"/>
          <w:vertAlign w:val="baseline"/>
        </w:rPr>
        <w:t xml:space="preserve"> Available at </w:t>
      </w:r>
      <w:hyperlink r:id="rId36" w:history="1">
        <w:r>
          <w:rPr>
            <w:rFonts w:ascii="arial" w:eastAsia="arial" w:hAnsi="arial" w:cs="arial"/>
            <w:b w:val="0"/>
            <w:i/>
            <w:strike w:val="0"/>
            <w:noProof w:val="0"/>
            <w:color w:val="0077CC"/>
            <w:position w:val="0"/>
            <w:sz w:val="20"/>
            <w:u w:val="single"/>
            <w:vertAlign w:val="baseline"/>
          </w:rPr>
          <w:t>http://www.hardinet.org/Profit-Report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Air Conditioning Contractors of America (ACCA). </w:t>
      </w:r>
      <w:r>
        <w:rPr>
          <w:rFonts w:ascii="arial" w:eastAsia="arial" w:hAnsi="arial" w:cs="arial"/>
          <w:b w:val="0"/>
          <w:i/>
          <w:strike w:val="0"/>
          <w:noProof w:val="0"/>
          <w:color w:val="000000"/>
          <w:position w:val="0"/>
          <w:sz w:val="20"/>
          <w:u w:val="none"/>
          <w:vertAlign w:val="baseline"/>
        </w:rPr>
        <w:t>Financial Analysis for the HVACR Contracting Industry: 2005.</w:t>
      </w:r>
      <w:r>
        <w:rPr>
          <w:rFonts w:ascii="arial" w:eastAsia="arial" w:hAnsi="arial" w:cs="arial"/>
          <w:b w:val="0"/>
          <w:i w:val="0"/>
          <w:strike w:val="0"/>
          <w:noProof w:val="0"/>
          <w:color w:val="000000"/>
          <w:position w:val="0"/>
          <w:sz w:val="20"/>
          <w:u w:val="none"/>
          <w:vertAlign w:val="baseline"/>
        </w:rPr>
        <w:t xml:space="preserve"> Available at </w:t>
      </w:r>
      <w:hyperlink r:id="rId37" w:history="1">
        <w:r>
          <w:rPr>
            <w:rFonts w:ascii="arial" w:eastAsia="arial" w:hAnsi="arial" w:cs="arial"/>
            <w:b w:val="0"/>
            <w:i/>
            <w:strike w:val="0"/>
            <w:noProof w:val="0"/>
            <w:color w:val="0077CC"/>
            <w:position w:val="0"/>
            <w:sz w:val="20"/>
            <w:u w:val="single"/>
            <w:vertAlign w:val="baseline"/>
          </w:rPr>
          <w:t>http://www.acca.org/store/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Census Bureau, 2007 Economic Census Data (2007) (Available at: </w:t>
      </w:r>
      <w:hyperlink r:id="rId38"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Sales Tax Clearinghouse Inc., State Sales Tax Rates Along with Combined Average City and County Rates, 2013 (Available at: </w:t>
      </w:r>
      <w:hyperlink r:id="rId39"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preliminary analysis public meeting and in written comments responding to DOE's preliminary analyses, DOE received feedback regarding distribution channels and market share of equipment through different channels. Lochinvar, Plumbing-Heating-Cooling Contractors National Association (PHCC), and Raypak commented that DOE's considered distribution channels seem accurate. Lochinvar estimates that commercial sales for all CPB sizes are primarily (80% or more) through manufacturer's representatives. (Lochinvar, No. 34 at p. 2) PHCC noted that boilers below 4,000,000 Btu/h are likely to have wholesaler presence, but anything larger would most likely be sold through a manufacturer's representative. (PHCC, Public Meeting Transcript, No. 39 at p. 79) Raypak stated that, due to complexity of installation of commercial packaged boilers, sales are done primarily through a manufacturer's representative that provides additional equipment and expertise needed, and that wholesalers do not really apply to commercial packaged boilers. (Raypak, Public Meeting Transcript, No. 39 at p.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contradictory comments from stakeholders regarding the presence of wholesalers in the distribution chain for commercial packaged boilers. However, for the NOPR analysis, consistent with the preliminary analysis, the impact on markups from sales through wholesalers and sales through manufacturer's representatives are assumed to be equal. As a result, the distinction would not result in any impact on the overall markups. For its NOPR analysis DOE retained the distribution channels, and the assumed share of equipment </w:t>
      </w:r>
      <w:r>
        <w:rPr>
          <w:rFonts w:ascii="arial" w:eastAsia="arial" w:hAnsi="arial" w:cs="arial"/>
          <w:b/>
          <w:i w:val="0"/>
          <w:strike w:val="0"/>
          <w:noProof w:val="0"/>
          <w:color w:val="000000"/>
          <w:position w:val="0"/>
          <w:sz w:val="20"/>
          <w:u w:val="none"/>
          <w:vertAlign w:val="baseline"/>
        </w:rPr>
        <w:t> [*15863] </w:t>
      </w:r>
      <w:r>
        <w:rPr>
          <w:rFonts w:ascii="arial" w:eastAsia="arial" w:hAnsi="arial" w:cs="arial"/>
          <w:b w:val="0"/>
          <w:i w:val="0"/>
          <w:strike w:val="0"/>
          <w:noProof w:val="0"/>
          <w:color w:val="000000"/>
          <w:position w:val="0"/>
          <w:sz w:val="20"/>
          <w:u w:val="none"/>
          <w:vertAlign w:val="baseline"/>
        </w:rPr>
        <w:t xml:space="preserve"> through these channels, as established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received comments on the value of the markups, the applicability of the markups to small businesses, and tax exemption for commercial packaged boilers used for manufacturing purposes. Lochinvar suggested that DOE's markups in the preliminary analysis were 5-10% higher than they expected, resulting in overestimation of consumer price of the same order. (Lochinvar, No. 34 at pp. 2-3) PVI Industries, LLC (PVI) noted that the markups established from publicly traded companies are not reflective of smaller manufacturers that may not benefit from higher volume sales and economies of scale. (PVI, Public Meeting Transcript, No. 39 at p. 82) PHCC noted that, in some states, a tax exemption may exist for commercial packaged boilers if they are used for manufacturing purposes, citing Indiana and Michigan as states where such tax exemptions exist. (PHCC, Public Meeting Transcript, No. 39 at p.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comments, DOE reexamined the markups and encountered errors in its preliminary analysis calculations resulting in overly high markups. DOE has corrected this issue in the NOPR markups analysis. With respect to adequately representing markups for small businesses that may not benefit from high volume sales, and thus certain economies of scale, DOE is not generally privy to financial data for non-publically traded firms and cannot assess the likely impact, or magnitude of impact, on overall markups of smaller firms with reduced sales. With respect to tax exemptions that may exist for commercial packaged boilers used for manufacturing purposes, this rulemaking does not cover process boilers that are not used for space heating. In addition, based on the information available to DOE, DOE did not identify any tax exemptions available for the commercial packaged boilers covered in this rulemaking. As such, DOE did not consider tax exemptions in its NOPR analyses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NOPR TSD provides further detail on the estimation of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information or insight that can better inform its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energy use analysis is to determine the annual energy consumption of commercial packaged boilers in use in the United States and assess the energy savings potential of increases in efficiency (thermal efficiency (ET) or combustion efficiency (E[C])). In contrast to the CPB test procedure under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431, which uses fixed operating conditions in a laboratory setting, the energy use analysis for commercial packaged boilers seeks to estimate the range of energy consumption of the equipment in the field. DOE estimates the annual energy consumption of commercial packaged boilers at specified energy efficiency levels across a range of climate zones, building characteristics, and space and water heating applications. The annual energy consumption includes natural gas, liquid petroleum gas (LPG), oil, and/or electricity use by the commercial packaged boiler for space and water heating. The annual energy consumption of commercial packaged boilers is used in subsequent analyses, including the LCC and PBP analysis and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preliminary analyses, DOE estimated the energy consumption of commercial packaged boilers in commercial buildings and multi-family housing units by developing building samples for each of eight equipment classes examined based on the Energy Information Administration's (EIA) 2003 Commercial Building Energy Consumption Survey n39 (CBECS 2003) and EIA's 2009 Residential Energy Consumption Survey (RECS 2009), respectively. In their written comments in response to DOE's preliminary analyses, Raypak and AHRI expressed concern regarding the use of 2003 CBECS data, noting that it would not properly reflect the energy use of commercial packaged boilers being installed in 2019 and beyond, and urged DOE to await the release of CBECS 2012. (Raypak, No. 35 at p. 1; AHRI, No. 37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U.S. Energy Information Administration (EIA). </w:t>
      </w:r>
      <w:r>
        <w:rPr>
          <w:rFonts w:ascii="arial" w:eastAsia="arial" w:hAnsi="arial" w:cs="arial"/>
          <w:b w:val="0"/>
          <w:i/>
          <w:strike w:val="0"/>
          <w:noProof w:val="0"/>
          <w:color w:val="000000"/>
          <w:position w:val="0"/>
          <w:sz w:val="20"/>
          <w:u w:val="none"/>
          <w:vertAlign w:val="baseline"/>
        </w:rPr>
        <w:t>2003 Commercial Building Energy Consumption Survey (CBECS) Data.</w:t>
      </w:r>
      <w:r>
        <w:rPr>
          <w:rFonts w:ascii="arial" w:eastAsia="arial" w:hAnsi="arial" w:cs="arial"/>
          <w:b w:val="0"/>
          <w:i w:val="0"/>
          <w:strike w:val="0"/>
          <w:noProof w:val="0"/>
          <w:color w:val="000000"/>
          <w:position w:val="0"/>
          <w:sz w:val="20"/>
          <w:u w:val="none"/>
          <w:vertAlign w:val="baseline"/>
        </w:rPr>
        <w:t xml:space="preserve"> 2003. Available at </w:t>
      </w:r>
      <w:hyperlink r:id="rId40" w:history="1">
        <w:r>
          <w:rPr>
            <w:rFonts w:ascii="arial" w:eastAsia="arial" w:hAnsi="arial" w:cs="arial"/>
            <w:b w:val="0"/>
            <w:i/>
            <w:strike w:val="0"/>
            <w:noProof w:val="0"/>
            <w:color w:val="0077CC"/>
            <w:position w:val="0"/>
            <w:sz w:val="20"/>
            <w:u w:val="single"/>
            <w:vertAlign w:val="baseline"/>
          </w:rPr>
          <w:t>http://www.eia.gov/consumption/commercial/data/2003/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there is benefit to the use of more recent CBECS data. However, EIA, so far, has released only a single microdata file ("Building Characteristics Public Use Microdata," June 25, 2015) covering the "building characteristics" portion of the 2012 CBECS survey sample results. n40 In its NOPR analysis, DOE used this data for updating the equipment class distributions in the analysis period, the shipment analysis, and the national impact analysis. To use the CBECS sample data for the LCC analysis, DOE requires the microdata file covering consumption and expenditure data. Since CBECS 2003 is the latest survey, with complete microdata available for the purpose of DOE's energy use analysis, DOE continued to use CBECS 2003 in the LCC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U.S. Energy Information Administration (EIA). </w:t>
      </w:r>
      <w:r>
        <w:rPr>
          <w:rFonts w:ascii="arial" w:eastAsia="arial" w:hAnsi="arial" w:cs="arial"/>
          <w:b w:val="0"/>
          <w:i/>
          <w:strike w:val="0"/>
          <w:noProof w:val="0"/>
          <w:color w:val="000000"/>
          <w:position w:val="0"/>
          <w:sz w:val="20"/>
          <w:u w:val="none"/>
          <w:vertAlign w:val="baseline"/>
        </w:rPr>
        <w:t>2012 Commercial Building Energy Consumption Survey (CBECS) Data.</w:t>
      </w:r>
      <w:r>
        <w:rPr>
          <w:rFonts w:ascii="arial" w:eastAsia="arial" w:hAnsi="arial" w:cs="arial"/>
          <w:b w:val="0"/>
          <w:i w:val="0"/>
          <w:strike w:val="0"/>
          <w:noProof w:val="0"/>
          <w:color w:val="000000"/>
          <w:position w:val="0"/>
          <w:sz w:val="20"/>
          <w:u w:val="none"/>
          <w:vertAlign w:val="baseline"/>
        </w:rPr>
        <w:t xml:space="preserve"> 2012. Available at </w:t>
      </w:r>
      <w:hyperlink r:id="rId41" w:history="1">
        <w:r>
          <w:rPr>
            <w:rFonts w:ascii="arial" w:eastAsia="arial" w:hAnsi="arial" w:cs="arial"/>
            <w:b w:val="0"/>
            <w:i/>
            <w:strike w:val="0"/>
            <w:noProof w:val="0"/>
            <w:color w:val="0077CC"/>
            <w:position w:val="0"/>
            <w:sz w:val="20"/>
            <w:u w:val="single"/>
            <w:vertAlign w:val="baseline"/>
          </w:rPr>
          <w:t>http://www.eia.gov/consumption/commercial/data/2012/index.cfm?view=microdata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Energy Use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energy characterization modeling approach calculates CPB energy use based on rated thermal efficiency and building heat load (BHL), accounting for the conversion from combustion efficiency to thermal efficiency when applicable, part-load operation (in the case of multi-stage equipment), and cycling losses (for single-stage equipment), as well as return water temperature (RWT) and climate zones. In the preliminary analyses, DOE analyzed CPB annual energy use based on the building sample, equipment efficiency characteristics, and equipment performance at part-load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analyses, in determining building heat load, DOE adjusted the building heat load to reflect the expectation that buildings in 2019 would have a somewhat different building heat load than buildings in the CBECS 2003 and RECS 2009 building sample. The adjustment involved multiplying the calculated BHL for each CBECS 2003 or RECS 2009 building by the building shell efficiency index from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This factor differs for commercial and residential buildings as well as new construction and replacement buildings. Additionally, DOE also adjusted the building heat load reported in CBECS 2003 and RECS 2009 for each building using the ratio of the historical National Oceanic and Atmospheric Administration (NOAA) average heating degree day data for the specific region each CBECS or RECS building sampled is in to the 2003 or 2009 heating degree days value, respectively, for the same region, to reflect the heating load under historical average climate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feedback on the methodology and assumptions used for the building heat load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its preliminary analyses, DOE adjusted the rated thermal efficiency of evaluated commercial packaged boilers based on RWT, cycling losses, and part-load operation. High RWT is applied to all non-condensing boiler installations. For condensing boiler installations, low </w:t>
      </w:r>
      <w:r>
        <w:rPr>
          <w:rFonts w:ascii="arial" w:eastAsia="arial" w:hAnsi="arial" w:cs="arial"/>
          <w:b/>
          <w:i w:val="0"/>
          <w:strike w:val="0"/>
          <w:noProof w:val="0"/>
          <w:color w:val="000000"/>
          <w:position w:val="0"/>
          <w:sz w:val="20"/>
          <w:u w:val="none"/>
          <w:vertAlign w:val="baseline"/>
        </w:rPr>
        <w:t> [*15864] </w:t>
      </w:r>
      <w:r>
        <w:rPr>
          <w:rFonts w:ascii="arial" w:eastAsia="arial" w:hAnsi="arial" w:cs="arial"/>
          <w:b w:val="0"/>
          <w:i w:val="0"/>
          <w:strike w:val="0"/>
          <w:noProof w:val="0"/>
          <w:color w:val="000000"/>
          <w:position w:val="0"/>
          <w:sz w:val="20"/>
          <w:u w:val="none"/>
          <w:vertAlign w:val="baseline"/>
        </w:rPr>
        <w:t xml:space="preserve"> RWT is applied to all commercial packaged boilers in the new construction market, 25 percent of replacement boilers in buildings built after 1990, and 5 percent of replacement boilers in buildings built before 1990. DOE assumed that all other condensing boiler installations are high RWT applications. The efficiency adjustment for low and high RWT is dependent on climate, with low RWT values resulting in the condensing CPB equipment operating in condensing mode, on average, and high RWT values resulting in the condensing CPB equipment operating in non-condensing mode, on average. See appendix 7B of the NOPR TSD for the adjustment factors used for RWT, part-load operation, and cycling by climate zone. For commercial packaged boilers rated in combustion efficiency, DOE converted combustion efficiency to thermal efficiency. DOE used combustion and thermal efficiency data from the AHRI database to create a conversion factor that is representative of the range of commercial packaged boilers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on the preliminary analysis regarding the energy modeling approach. Regarding DOE's approach to converting combustion efficiency to thermal efficiency, Lochinvar suggested that, in order to avoid confusion, DOE should not convert one to the other. (Lochinvar, No. 34 at p. 7) Relative to adjusting rated thermal efficiency of commercial packaged boilers using return water temperature, Lochinvar urged DOE not to attempt correcting the efficiency of hot water commercial packaged boilers based on expected return water temperature conditions, noting that certain aspects of the BTS-2000 test procedure are being overlooked, such as the use of a recirculating loop used in some instances allowing for higher return water temperature into the boiler. Lochinvar also noted that efficiency curves over a wide range of return water temperatures used to derive conversion factors in the analysis are not based on BTS-2000 methodology, and using data created without a consistent test procedure is certain to introduce errors. (Lochinvar, No. 34 at p. 3) Similarly, AHRI expressed concerns regarding DOE's decision to try to adjust rated thermal efficiency and annual energy consumption estimates of commercial packaged boilers to account for differences in return and supply water temperatures, noting the lack of field data and the use of outdoor reset in many installations, a field condition variable that adjusts return water temperature based on building heating load and ambient air temperature. AHRI furthered stated that such efficiency adjustment would be an estimate not supported by adequate field data. (AHRI, No. 37 at p. 4) Raypak noted that return water temperature is unique to every boiler application, building design, and engineering plans for building operation. Raypak stated that there is no representative profile of return water temperature in the field. (Raypak, No. 35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given the trends toward multiple boilers, the energy use calculations in buildings where multiple boilers are installed should be considered in DOE's energy use analysis. (AHRI, Public Meeting Transcript, No. 39 at pp. 95-96) DOE's analysis of non-condensing boilers considers cycling loss curves that reflect staging with multiple boilers, where multiple boilers exist, reducing the cycling adjustment factor based on the modulation capability of multiple-boiler systems. For condensing boilers, the part-load curves do not consider effects of multiple boilers but instead consider impact on efficiency due to modulation.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adjustments made to CPB efficiencies and annual energy use based on return water temperature conditions, DOE understands that field conditions may be variable but recognizes that one of the key drivers impacting CPB efficiency is return water temperature. In its analysis, DOE sought to estimate the energy use of equipment in the field and, as such, considered factors that may impact CPB efficiency, including return water temperature conditions. DOE's energy use analysis has been designed to reflect conditions in the field, considering the expectations for existing buildings and the potential in new construction, as well as the proposed testing conditions in DOE's concurrent test procedure rulemaking.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 link to the February 2016 test procedure NOPR issued by DOE can be found at: </w:t>
      </w:r>
      <w:hyperlink r:id="rId26" w:history="1">
        <w:r>
          <w:rPr>
            <w:rFonts w:ascii="arial" w:eastAsia="arial" w:hAnsi="arial" w:cs="arial"/>
            <w:b w:val="0"/>
            <w:i/>
            <w:strike w:val="0"/>
            <w:noProof w:val="0"/>
            <w:color w:val="0077CC"/>
            <w:position w:val="0"/>
            <w:sz w:val="20"/>
            <w:u w:val="single"/>
            <w:vertAlign w:val="baseline"/>
          </w:rPr>
          <w:t>http://energy.gov/eere/buildings/downloads/issuance-2016-02-22-energy-conservation-program-certain-commercial-and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DOE's approach to converting combustion efficiency to thermal efficiency, Lochinvar stated that DOE's conversion factor where every 1 percent increase in combustion efficiency equates to a 1.0867 percent increase in thermal efficiency could be misleading when reversing the conversion factor to prescribe new minimum combustion standards. Lochinvar believes such reversed conversions would require DOE to justify a greater energy savings for large commercial packaged boilers in order to justify an increase in combustion efficiency. Lochinvar suggested that, in order to avoid confusion, DOE should not convert one to the other. (Lochinvar, No. 34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disagrees that its method of converting combustion efficiency to thermal efficiency for applicable large commercial packaged boilers is misleading. As detailed in chapter 7 of the NOPR TSD, DOE calculated annual energy use of covered commercial packaged boilers based on the thermal efficiency of the equipment while accounting for cycling loss, part load operating conditions, and return water temperature. For equipment classes rated in combustion efficiency, DOE converted the combustion efficiency levels defined in the engineering analysis to thermal efficiency levels in order to appropriately characterize the energy use of the equipment. However, DOE did not reverse the conversion when establishing standard levels in combustion efficiency. Rather, DOE identified combustion efficiency levels through its engineering analysis by evaluating technologically feasible options. DOE then calculated energy use and associated operating cost savings through converting combustion efficiency to thermal efficiency when determining economic justification of each identified combustion efficiency level. As such, DOE disagrees with Lochinvar's point that the conversion from combustion efficiency to thermal efficiency is misleading or will create confusion. DOE did review the conversion factor that DOE developed in the preliminary analysis and adjusted it to ensure the NOPR analysis does not result in a conversion where the thermal efficiency value is higher than the combustion efficiency. DOE applied the same methodology to convert combustion efficiency to thermal efficiency to determine energy use of equipment rated in combustion efficiency in its energy analysis for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received comments related to system considerations that may impact return water temperature conditions, and the resulting impact on the expected performance of condensing units that replace non-condensing commercial packaged boilers. ABMA commented that unless the boiler sizing closely follows the seasonal load profile, and the control system is capable of selecting the correct boiler for the prevailing load, the efficiency savings will not be maximized. (ABMA, No. 33 at p. 3) Raypak similarly commented that DOE should be aware of the distribution system considerations for ensuring proper operation with lower boiler water temperatures, as needed for </w:t>
      </w:r>
      <w:r>
        <w:rPr>
          <w:rFonts w:ascii="arial" w:eastAsia="arial" w:hAnsi="arial" w:cs="arial"/>
          <w:b/>
          <w:i w:val="0"/>
          <w:strike w:val="0"/>
          <w:noProof w:val="0"/>
          <w:color w:val="000000"/>
          <w:position w:val="0"/>
          <w:sz w:val="20"/>
          <w:u w:val="none"/>
          <w:vertAlign w:val="baseline"/>
        </w:rPr>
        <w:t> [*15865] </w:t>
      </w:r>
      <w:r>
        <w:rPr>
          <w:rFonts w:ascii="arial" w:eastAsia="arial" w:hAnsi="arial" w:cs="arial"/>
          <w:b w:val="0"/>
          <w:i w:val="0"/>
          <w:strike w:val="0"/>
          <w:noProof w:val="0"/>
          <w:color w:val="000000"/>
          <w:position w:val="0"/>
          <w:sz w:val="20"/>
          <w:u w:val="none"/>
          <w:vertAlign w:val="baseline"/>
        </w:rPr>
        <w:t xml:space="preserve"> a condensing system to yield the maximum energy savings, and that it is aware of many condensing boiler installations that have not realized the desired savings due to system considerations that prevent condensation from taking place. (Raypak, No. 35 at p. 4) Raypak and PVI commented that installing a high efficiency condensing commercial packaged boiler in a system that operates with return water temperatures that do not allow for high efficiency operation will yield little or no cost/energy savings. (Raypak, No. 35 at p. 4; PVI, Public Meeting Transcript, No. 39 at p. 183) PVI further noted that the analysis assumes that a high efficiency condensing commercial packaged boiler operates at high efficiency all the time but that, anecdotally, the vast majority of buildings in the United States today have return water temperatures of between 140 and 160 degrees that do not allow for condensing, and that a system redesign would be required to allow for condensing to take place. (PVI, Public Meeting Transcript, No. 39 at pp. 182-183) AHRI and Raypak stated that the costs associated with a system retrofit in such cases should be considered in the model. (Raypak, Public Meeting Transcript, No. 39 at p. 186; AHRI, Public Meeting Transcript, No. 39 at pp. 119-120) PHCC inquired as to the fraction of commercial packaged boilers that the preliminary analysis assumed are condensing boilers operating in condensing mode and noted that water temperature requirements for a system are more a function of system conditions than sizing of the boiler and that a minimum water temperature may be required to transfer heat from the emitter to the space being heated. (PHCC, Public Meeting Transcript, No. 39 at pp. 121 and 133) PHCC commented that in new installations, it is important to note that when using high-efficiency products, a system must be designed such that you obtain lower return water temperatures to operate in the effective part of the boiler efficiency curve. (PHCC, Public Meeting Transcript, No. 39 at p. 98) ACEEE, however, noted that field experience has demonstrated system conversions to high efficiency commercial packaged boilers to be feasible, despite assertions to the contrary based on designed-in system temperatures. (ACEEE, Public Meeting Transcript, No. 39 at pp. 183-184) ACEEE commented on the potential impact that oversizing practices in the field may have on system efficiencies, stating that it expects substantial oversizing for the actual peak draws that would be expected in a facility, and inquired as to how this may impact the amount of time a condensing boiler spends in condensing mode. (ACEEE, Public Meeting Transcript, No. 39 at pp. 93-94 and 132-133) ACEEE also commented that the DOE is focusing too much on the CPB costs and not enough on other system costs, recommending Vermont Efficiency Community as a source of information and interactions with design engineers to obtain a better understanding of design considerations and to obtain relevant case studies. (ACEEE, Public Meeting Transcript, No. 39 at p. 127) PVI also commented that interacting with the engineering community is essential to understanding what is involved in converting a system designed for high water temperature to use low water temperature. (PVI, Public Meeting Transcript, No. 39 at p. 126-127) AHRI and Lochinvar identified the Centre of Energy Efficiency at Minneapolis (MNCEE) as a possible source of useful information and suggested that DOE should contact them. (AHRI No. 37 at p. 4; Lochinvar No. 34 at p. 3) DOE reviewed relevant published literature from the MNCEE Web site, and after contacting them learned about an ongoing study on "Condensing Boiler Optimization in Commercial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there are system considerations that can negatively impact the performance of a condensing commercial packaged boiler, resulting in less than optimum CPB efficiency. The analysis considered the return water temperature's effect on condensing boiler efficiency and took into account climate zone data to account for expected differences in operation and performance between different climates. DOE's analysis developed a heating load-weighted average return water temperature for two scenarios. In one scenario, a low return water temperature is provided for commercial packaged boilers that are installed in a system that would allow for condensation to occur. In a second scenario, a high return water temperature is provided for commercial packaged boilers that are installed in a system that does not allow for condensation to occur. For buildings in new construction, DOE assumed that all buildings will be designed to allow for condensing boilers to condense for a significant part of the heating season and therefore used low return water temperatures for its analysis. For buildings built after 1990, DOE assumed that 25% of buildings will be capable of low return water temperatures to allow condensing during part of the heating season. For buildings built before 1990, DOE assumed that 5% of buildings will be capable of low return water temperatures to allow condensing during part of the heating season. For the remainder of buildings, DOE's analysis used the average high return water temperature scenario. DOE tentatively concluded that it has appropriately considered the building hot water and steam distribution systems to appropriately account for the performance impact on commercial packaged boilers resulting from return water temperature conditions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feedback from Lochinvar, AHRI, ABMA, and PHCC relative to the various control options for commercial packaged boilers, particularly those used in multiple-boiler installations. Some of these controls may include fixed thermostats, fixed lead/lag thermostats with rotation on lead, individual thermistors with modulation, individual modulation with rotating lead, and group modulation. Lochinvar notes that some of the control options may be integral or external to the CPB, a point also echoed by AHRI, which commented on the variety of control systems and that some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 energy management systems) are independent of the control system provided on the boiler. PHCC further noted that contractors specializing in building management systems may be used to install and integrate such control systems. PHCC also noted that multiple-boiler staging may be accomplished with aftermarket products that are designed to communicate with boilers or between boilers, and that a contractor may perform the installation but a different control contractor may integrate the boiler control to a building management program. (Lochinvar, No. 34 at p. 4; AHRI, No. 37 at p. 4; PHCC, Public Meeting Transcript, No. 39 at pp. 99-101) AHRI noted that in CPB installations with mixed efficiency levels, the control system usually calls on the secondary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efficient) boiler to operate only in increased load situations. AHRI also noted that it would be useful to understand how many commercial boiler installations include a system control panel that adds sophistication to controlling the boiler and system. (AHRI, No. 37 at p. 4; AHRI, Public Meeting Transcript, No. 39 at p. 100) AHRI also notes that ASHRAE Standard 90 requires load-sensing controls for boiler-based heating systems. (AHRI, Public Meeting Transcript, No. 39 at pp. 32-33) ABMA </w:t>
      </w:r>
      <w:r>
        <w:rPr>
          <w:rFonts w:ascii="arial" w:eastAsia="arial" w:hAnsi="arial" w:cs="arial"/>
          <w:b/>
          <w:i w:val="0"/>
          <w:strike w:val="0"/>
          <w:noProof w:val="0"/>
          <w:color w:val="000000"/>
          <w:position w:val="0"/>
          <w:sz w:val="20"/>
          <w:u w:val="none"/>
          <w:vertAlign w:val="baseline"/>
        </w:rPr>
        <w:t> [*15866] </w:t>
      </w:r>
      <w:r>
        <w:rPr>
          <w:rFonts w:ascii="arial" w:eastAsia="arial" w:hAnsi="arial" w:cs="arial"/>
          <w:b w:val="0"/>
          <w:i w:val="0"/>
          <w:strike w:val="0"/>
          <w:noProof w:val="0"/>
          <w:color w:val="000000"/>
          <w:position w:val="0"/>
          <w:sz w:val="20"/>
          <w:u w:val="none"/>
          <w:vertAlign w:val="baseline"/>
        </w:rPr>
        <w:t xml:space="preserve"> noted that unless the boiler sizing closely follows the seasonal load profile, and the control system is capable of selecting the correct boiler for the prevailing load, the efficiency savings will not be maximized. In consideration of these comments, DOE notes that while the analysis does not specifically apply any individual controls for multiple-boiler situations, it does consider the impact on the efficiency of a boiler on a multiple-boiler installation (through providing for differing part load/cycling adjustment where staging of multiple-boilers is possible). The analysis does not consider multiple-boiler installations where commercial packaged boilers of different fuel input rate are used; nor does it consider hybrid systems that may use condensing and non-condensing boilers together and controlled in sequence as part of its no-new-standards case. For more information on this part of the analysis, refer to chapter 7 and appendix 7B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modified the energy use characterization conducted in the preliminary analysis to improve the modeling of equipment performance. The modifications that DOE performed included changes to the cycling loss factors for individual commercial packaged boilers, improved accounting for estimating performance of multiple-boiler installations, and improving the return water temperature efficiency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detailed description of the energy use characterization approach can be found in appendix 7B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Building Sample Selection and Sizing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energy analysis for this NOPR, DOE's estimation of the annual energy savings of commercial packaged boilers from higher efficiency equipment alternatives relies on building sample data from CBECS 2003, RECS 2009, and CBECS 2012. n42 CBECS 2003 includes energy consumption and building characteristic data for 5,215 commercial buildings representing 4.9 million commercial buildings. RECS 2009 includes similar data from 12,083 housing units that represent almost 113.6 million residential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EIA released only building characteristic micro-data tables for CBECS 2012 in June 2015. These buildings could not be used as sample buildings for this rulemaking because they did not have energy consumption details. However this partial set of data in CBECS 2012 was used to determine useful trends for developing the final sample distribution across various equipment classes during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subset of CBECS 2003 and RECS 2009 building records used in the analysis met the following criteria. The CPB application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commercial packaged boiler(s) as one of the main heating equipment components in the building,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a heating fuel that is natural gas (including propane and LPG) or fuel oil or a dual fuel combination of natural gas and fuel oil,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served a building with estimated design condition building heating load exceeding the lower limit of CPB qualifying size (300,000 Btu/hr),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 non-trivial consumption of heating fuel allocable to the commercial packaged boiler.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commercial packaged boilers in the qualifying building samples. DOE disaggregated the selected sample set of commercial packaged boilers into subsets based on the fuel types (gas or oil), fuel input rate (small or large), heating medium (steam or hot water). DOE then used these CPB subsets to group the sample buildings equipped with the same class of equipment evaluated in its NOPR analysis. In the LCC analysis, DOE used the ratio of the weighted floor space of the groups of commercial and residential building samples associated with each equipment class to determine the respective sample weights for the commercial and residential sectors. In absence of the newer sample data from CBECS 2012, DOE's new construction sample was based on the same selection algorithms as the replacement sample but included only buildings built after 1990, which DOE tentatively concluded would have building characteristics more similar to the new construction buildings in the start of the analysis period in 2019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 insulation, regional distribution of the buildings,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disaggregate a selected set of commercial packaged boilers into large and small equipment classes, DOE uses a sizing methodology to determine the sizes of the commercial packaged boilers installed in the building. In the preliminary analysis, DOE used a rule-based sizing methodology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predetermined number of commercial packaged boilers for a building with a given sizing heating load) with key threshold size parameters estimated from the AHRI directory model counts. In the NOPR analysis, DOE used a statistical sizing approach described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total sizing of the heating equipment is determined from the heated square footage of the building, the percentage of area heated, a uniform heating load requirement of 30 Btu/h per square foot of heated area, and an assumed equipment efficiency mapped to the construction year. DOE's sizing methodology also takes outdoor design conditions into consideration. The outdoor design condition for the building is based on the specific weather location of the building. The estimated total CPB sizing (MMBtu/h) is the aggregate heating equipment sizing prorated using the area fraction heated by the commercial packaged boilers and multiplied by an oversize factor of 1.1. For the sample of residential multi-family buildings, the heating equipment sizing methodology for commercial buildings is modified to calculate the heating load for each residential unit of the multi-family buildings and this value is multiplied by the number of units, assuming each unit to have identical area and design heating load. The modified methodology for residential multi-family buildings further assumes that a centrally located single or a multiple-boiler installation would meet the entire design heating load of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computed the size of each commercial packaged boiler in each sample building by dividing the aggregate CPB sizing heating load (MMBtu/hr) by an estimated number of boilers of equal capacity. To estimate the number of commercial packaged boilers in a given sample building, DOE established a CPB count distribution for a given sizing load range in a set of sample buildings from CBECS data of 1979 and 1983--the only two CBECS surveys where the CPB count data were available for the sample buildings. DOE assigned the number of commercial packaged boilers to all the qualified sample buildings of 2003 CBECS based on this distribution. The number of commercial packaged boilers in each sample building was multiplied by the respective building sample weights in CBECS to obtain an estimate of the overall CPB population and their respective capacities. The CPB size distributions obtained by this method were compared with the size distribution of the space heating boilers obtained in an EPA database n43 having size information of over 120,000 space heating boilers. The comparison from these two different datasets did not reveal any significant differences. Minor tweaks were made to the statistical assignment of the number of commercial packaged boilers so as to maximize the utility of the sampled buildings used for the NOPR analysis; </w:t>
      </w:r>
      <w:r>
        <w:rPr>
          <w:rFonts w:ascii="arial" w:eastAsia="arial" w:hAnsi="arial" w:cs="arial"/>
          <w:b/>
          <w:i w:val="0"/>
          <w:strike w:val="0"/>
          <w:noProof w:val="0"/>
          <w:color w:val="000000"/>
          <w:position w:val="0"/>
          <w:sz w:val="20"/>
          <w:u w:val="none"/>
          <w:vertAlign w:val="baseline"/>
        </w:rPr>
        <w:t> [*15867]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commercial packaged boilers assigned to very large buildings in cold climates with large design sizing loads were high enough to ensure that the capacity of a single unit of the multiple-boiler installation was lower than 10 MMBtu/h, the maximum CPB size for the equipment classes analyzed. At the lower end of the heating load spectrum, the number of commercial packaged boilers assigned to the installation were matched to ensure that any commercial packaged boiler in the installation has a capacity higher than 300,000 Btu/h--the minimum size for a covered commercial packaged boiler.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Environmental Protection Agency. </w:t>
      </w:r>
      <w:r>
        <w:rPr>
          <w:rFonts w:ascii="arial" w:eastAsia="arial" w:hAnsi="arial" w:cs="arial"/>
          <w:b w:val="0"/>
          <w:i/>
          <w:strike w:val="0"/>
          <w:noProof w:val="0"/>
          <w:color w:val="000000"/>
          <w:position w:val="0"/>
          <w:sz w:val="20"/>
          <w:u w:val="none"/>
          <w:vertAlign w:val="baseline"/>
        </w:rPr>
        <w:t>13 State Boiler Inspector Inventory Database with Projections (Area Sources).</w:t>
      </w:r>
      <w:r>
        <w:rPr>
          <w:rFonts w:ascii="arial" w:eastAsia="arial" w:hAnsi="arial" w:cs="arial"/>
          <w:b w:val="0"/>
          <w:i w:val="0"/>
          <w:strike w:val="0"/>
          <w:noProof w:val="0"/>
          <w:color w:val="000000"/>
          <w:position w:val="0"/>
          <w:sz w:val="20"/>
          <w:u w:val="none"/>
          <w:vertAlign w:val="baseline"/>
        </w:rPr>
        <w:t xml:space="preserve"> EPA-HQ-OAR-2006-0790-0013 (April 2010) (Available at </w:t>
      </w:r>
      <w:hyperlink r:id="rId42" w:history="1">
        <w:r>
          <w:rPr>
            <w:rFonts w:ascii="arial" w:eastAsia="arial" w:hAnsi="arial" w:cs="arial"/>
            <w:b w:val="0"/>
            <w:i/>
            <w:strike w:val="0"/>
            <w:noProof w:val="0"/>
            <w:color w:val="0077CC"/>
            <w:position w:val="0"/>
            <w:sz w:val="20"/>
            <w:u w:val="single"/>
            <w:vertAlign w:val="baseline"/>
          </w:rPr>
          <w:t>http://www.epa.gov/ttnatw01/boiler/boilerpg.html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pertaining to its sizing methodology used in the preliminary analyses--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use of a rule-based sizing methodology, oversize factors used in the aggregate sizing calculation, and number of commercial packaged boilers used to meet a given design load. Raypak commented that there is no such thing as typical CPB sizing practice and that engineers and architects are responsible for creating the buildings the way the owner wants it. (Raypak, No. 35 at p. 3) PHCC commented that the design heating load is not the only criterion for sizing, but "connected load" is an important determinant of the sizing practice, especially for steam systems. (PHCC, Public Meeting Transcript, No. 39 at p. 97) Sizes of individual commercial packaged boilers in any installation depend on the aggregate design condition heating load and the number of commercial packaged boilers in the installation. DOE recognizes that the number of commercial packaged boilers assigned to meet the system heating load of a given building and to create some degree of redundancy varies in current HVAC system design practice. DOE's approach to sizing is based on CPB counts distributions from previous CBECS surveys and statistics gathered from the EPA database of space heating boilers. This methodology does not use a set number of commercial packaged boilers for a given design heating load but assigns the number of commercial packaged boilers within a range of counts based on previous observations from CBECS surveys. Regarding PHCC's comment on impact of connected load on CPB sizing, since DOE is not aware of any currently available data on the heat distribution equipment in commercial buildings, it was unable to make reasonable assumptions that could be incorporated in its sizing methodology. DOE welcomes comments on improving this sizing methodology and any other data that may assist DOE to establish a correlation between a given building heating load and the number of commercial packaged boilers in the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CBECS 2003 and RECS 2009 weightings for each building sample indicate how frequently each commercial building or household unit occurs on the national level in 2003 and 2009, respectively. DOE used these weightings from CBECS 2003 and RECS 2009 buildings for estimation of individual equipment class sample weights. Appendix 7A of the NOPR TSD presents the variables included and their definitions, as well as further information about the derivation of the building samples, the adjustments to the CPB weights, and sampling fractions for each of the four samples: Commercial and residential, each divided between new construction and retrofit.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multiple comments regarding the sizing methodology and other assumptions used in estimation of the equipment sample weights. PHCC pointed out that in the retrofit situation, though there are contractors who just replace the boilers on "like for like" basis, most contractors look at the overall system load and then size the installation appropriately considering the design heating load, particularly when a higher efficiency system is being considered. (PHCC, Public Meeting Transcript, No. 39 at p. 98) AHRI noted that it is not unusual to have a backup boiler in installations of some building types, creating some redundancy, in particular where absence of heating is unacceptable. (AHRI, Public Meeting Transcript, No. 39 at p. 94-95) AHRI further observed that this has been a historical practice, and current design practice mostly provides for multiple-boiler installations. ACEEE commented that installations needing 100-percent backup may use a second large boiler, or some may opt for having various small boilers that together cover 130 or 120 percent of the peak load. (ACEEE, Public Meeting Transcript, No. 39 at pp. 101-103). DOE's use of data-driven boiler count distributions to estimate the number of boilers in a given installation obviates the need for assumptions on the percent of the sample buildings requiring redundancy in the boiler installation and the extent of redundancy. For example, DOE estimated that 30% of the sample buildings having design heating loads between 570,000 and 865,000 Btu/hr would have two commercial packaged boilers, the rest being single boiler installations. While the capacity of the single commercial packaged boiler is based on an oversize factor of 110%, in the two-boiler situation each commercial packaged boiler has half the capacity of the single large commercial packaged boiler. The two-boiler situation creates redundancy only to the extent of 55% of the design load but has no provision for 100% redundancy under design heating condition. In the NOPR analysis, the maximum number of commercial packaged boilers assigned to any sample building is eight, implying redundancy of 96% of the design heating load. PHCC commented that fully redundant boilers are less frequent now than it has been in the past. (PHCC, Public Meeting Transcript, No. 39 at pp. 103-104) PHCC further noted that reasonable degree of redundancy can be created even when only 100% of the design load is shared by multiple boilers in an installation. PHCC observed that presently building owners are unwilling to spend a significant amount of additional funds to ensure redundancy as there are acceptable and safe alternatives. (PHCC, Public Meeting Transcript, No. 39 at p. 104) DOE's NOPR analysis assumes an average oversize factor of 110%, which appear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issues of redundant, modular, and multiple-boiler use in a given installation are intertwined, and DOE received several comments in this area. AHRI, Lochinvar, and Raypak noted that ASHRAE Standard 90.1-2013 requires a 3:1 turndown ratio for boiler systems with an input rate of 1 MMBtu/hr or more (accomplished with a modulating boiler or multiple boilers) to provide some measure of load following. (AHRI, No. 37 at p. 4; Lochinvar, No. 34 at p. 4; Raypak, No. 35 at p. 3). Raypak commented that trends show that more buildings, new and existing, are being provided with multiple smaller boilers instead of a single large boiler, and that buildings such as hospitals, hotels, colleges, and prisons are examples where redundant equipment may be used, though not necessarily providing 100% coverage. ACEEE also commented that there is some shift away from larger boilers to multiple smaller boilers. (ACEEE No. 39 at p.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one of the key drivers of the trend toward installation of multiple or modular commercial packaged boilers in any installation would be ASHRAE standard 90.1-2013, n44 which requires CPB systems with an input rate of 1 MMBtu/hour or more to have a turndown ratios of 3:1 or more. As this can be achieved either by staging of multiple smaller </w:t>
      </w:r>
      <w:r>
        <w:rPr>
          <w:rFonts w:ascii="arial" w:eastAsia="arial" w:hAnsi="arial" w:cs="arial"/>
          <w:b/>
          <w:i w:val="0"/>
          <w:strike w:val="0"/>
          <w:noProof w:val="0"/>
          <w:color w:val="000000"/>
          <w:position w:val="0"/>
          <w:sz w:val="20"/>
          <w:u w:val="none"/>
          <w:vertAlign w:val="baseline"/>
        </w:rPr>
        <w:t> [*15868] </w:t>
      </w:r>
      <w:r>
        <w:rPr>
          <w:rFonts w:ascii="arial" w:eastAsia="arial" w:hAnsi="arial" w:cs="arial"/>
          <w:b w:val="0"/>
          <w:i w:val="0"/>
          <w:strike w:val="0"/>
          <w:noProof w:val="0"/>
          <w:color w:val="000000"/>
          <w:position w:val="0"/>
          <w:sz w:val="20"/>
          <w:u w:val="none"/>
          <w:vertAlign w:val="baseline"/>
        </w:rPr>
        <w:t xml:space="preserve"> commercial packaged boilers or having large commercial packed boilers with modular heat exchangers and turndown capability, greater usage of multiple boilers or modular boilers are mutually offsetting. In the NOPR analysis, DOE has considered that commercial packaged boilers at the high end of the efficiency spectrum do have built-in turndown capability. Further in its NOPR analysis, DOE assumed that all commercial packaged boilers installed in new buildings will be part of a system with at least 3:1 turndown ratio and calculated the adjusted thermal efficiency of commercial packaged boilers in such systems accordingly. DOE could not quantify a definitive impact of ASHRAE standard 90.1-2013 on future CPB sizing practices because the standard is yet to be incorporated in most state building codes. However it modified future sizing methodology in the analysis period (2019-2048) to have a minimum count of at least two commercial packaged boilers of the same size for design heating loads exceeding 1 MM Btu/hr for new constructions.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ANSI/ASHRAE/IESNA Standard 90.1-2013, Energy Standard for Buildings Except Low-Rise Residential Buildings, American Society of Heating, Refrigerating and Air-conditioning Engineers, Inc., Atlanta, GA 30329.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Raypak noted that DOE's assumption in the preliminary analysis that all multiple boilers are of the same size and type when installed in the same building is incorrect. Raypak stated that it is seeing more "hybrid" systems that include both condensing and non-condensing boilers on the same system, with some of these hybrid systems having the ability to monitor the return water temperature and initiate condensing boiler operation. (Raypak, No. 35 at p. 3) PHCC commented that use of one low-efficiency and one high-efficiency boiler in a new installation could be rare but may happen in retrofit scenarios. (PHCC, Public Meeting Transcript, No. 39 at p. 104) DOE agrees with PHCC that hybrid installations are possible in retrofit situations where new condensing boiler(s) operating in the "base load mode" combine with the pre-existing non-condensing boilers to meet the design load. In new construction, DOE's analysis can be limited only to single efficiency levels for all commercial packaged boilers as any mandated efficiency standards stipulate a single minimum efficiency level only. It is likely that operation in the hybrid configuration may improve the economics of the "condensing boiler" efficiency option in DOE's NOPR analysis because of higher utilization of the condensing boilers in the hybrid retrofitted systems vis-a-vis utilizations currently estimated in the sample buildings under a "uniform configuration." However to quantify this impact, DOE needs to develop a reasonable baseline assumption regarding the current degree of adoption of the hybrid configuration practice in retrofit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information on what constitutes a reasonable baseline assumption about the current degree of adoption of hybrid boiler configurations in retrofit situations and on other related parameters such as percentage of total installed capacity typically assigned to the new condensing boilers, climate zones where it may be more prevalent and any other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sampling methodology is detailed in NOPR TSD appendix 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Miscellaneous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energy used by commercial packaged boilers, in some cases, may include energy used for non-space heating use such as water heating. In the preliminary analysis, DOE assumed that if the CBECS data indicates that the CPB fuel is the same as the fuel used for water heating then in 50% of the sample buildings, the same commercial packaged boiler is also used for water heating. Several stakeholders commented on the reasonableness and validity of this assumption. AHRI stated that in the collective opinion of its members, the fraction of boilers used for both space heating and hot water in commercial building is far less than the 50% assumed in the preliminary analysis. (AHRI, No. 37 at p. 5) Raypak agreed with AHRI's comment and further pointed out that this practice, though common in Europe for condensing boilers in residential applications, is not commonly observed in commercial buildings in the United States. (Raypak, No. 35 at p. 4) Lochinvar expressed that possibly a greater percentage of residential boilers are used for both space and water heating than boilers in commercial buildings. ACEEE pointed out that using packaged boilers also for hot water heating is a wasteful practice because of the presence of long recirculating loops, which are restricted in the new building codes. (ACEEE, Public Meeting Transcript, No. 39 at p. 113) ACEEE further pointed out that the current system design practice is moving away from having dual-use installations in commercial buildings. DOE agrees with the previous comments and consequently limited the fraction of occurrence of dual-use boilers to 20% of the samples in the NOPR analysis compared to the previously considered level of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associated energy consumption is due to electricity use by electrical components of commercial packaged boilers including circulating pump, draft inducer, igniter, and other auxiliary equipment such as condensate pumps. In evaluating electricity use, DOE considered electricity consumed by commercial packaged boilers both in active mode as well as in standby and off modes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energy use by pumps. AHRI noted that there has been significant progress on ASHRAE 90.1 in requiring or specifying more efficient mode of pumps for the circulating pumps and that there is a parallel rulemaking on commercial industrial pumps, and the impact of such rulemaking should be considered in this analysis and rulemaking as it relates to pumps used in commercial packaged boilers. (AHRI, Public Meeting Transcript, No. 39 at pp. 108-109 and 114) PHCC noted that the analysis should be clear as to whether pump power refers to a system pump, boiler pump, or both, and commented that small boilers are probably all provided with a system circulating pump, but, as systems get larger, the pumps may be field selected, and coming up with an average efficiency would be complicated given the various pump options available out there. (PHCC, Public Meeting Transcript, No. 39 at pp. 109-110 and 112-113) Similarly, Raypak noted that boiler pumps may not be included with the commercial packaged boiler but rather be a purchase decision made by the manufacturer's representative or contractor to meet the CPB flow and head requirements, and that care should be taken when taking this energy consumption into consideration. (Raypak, Public Meeting Transcript, No. 39 at pp. 115-116) ACEEE noted that care must be taken in the analysis to include only energy use for pumps integral to the operation of the boiler and not for those that are used for distribution to the system. (ACEEE, Public Meeting Transcript, No. 39 at p.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electricity use of pumps, DOE wishes to clarify that the current analysis only considered the electricity use of pumps needed for proper operation of the commercial packaged boiler, but not the electricity use of additional pumps that may be necessary used for distributing water throughout a system since the circulating pumps are not part of the commercial packaged boiler itself and inclusion of its energy consumption would not be appropriate to the development of the standard. </w:t>
      </w:r>
      <w:r>
        <w:rPr>
          <w:rFonts w:ascii="arial" w:eastAsia="arial" w:hAnsi="arial" w:cs="arial"/>
          <w:b/>
          <w:i w:val="0"/>
          <w:strike w:val="0"/>
          <w:noProof w:val="0"/>
          <w:color w:val="000000"/>
          <w:position w:val="0"/>
          <w:sz w:val="20"/>
          <w:u w:val="none"/>
          <w:vertAlign w:val="baseline"/>
        </w:rPr>
        <w:t> [*15869]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NOPR analysis, DOE maintained the electricity use analysis method used for the preliminary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consumers of commercial packaged boilers by determining how a potential amended standard affects their operating expenses (usually decreased) and their total installed costs (usually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total consumer cost of owning and operating an appliance or equipment, generally over its lifetime. The LCC calculation includes total installed cost (equipment manufacturer selling price, distribution chain markups, sales tax, and installation costs), operating costs (energy, repair, and maintenance costs), equipment lifetime, and discount rate. Future operating costs are discounted to the time of purchase and summed over the lifetime of the appliance or equipment. The PBP is the amount of time (in years) it takes consumers to recover the assumed higher purchase price of more energy-efficient equipment through reduced operating costs. DOE calculates the PBP by dividing the change in total installed cost (normally higher) due to a standard by the change in annual operating cost (normally lower) that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PBP and the change in LCC relative to an estimate of the no-new-standards efficiency distribution. The no-new-standards estimate reflects the market in the absence of amended energy conservation standards, including market trends for equipment that exceed the current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net effect of potential amended CPB standards on consumers by calculating the LCC and PBP for each efficiency level of each sample building using the engineering performance data, the energy-use data, and the markups. DOE performed the LCC and PBP analyses using a spreadsheet model combined with Crystal Ball (a commercially available software program used to conduct stochastic analysis using Monte Carlo simulation and probability distributions) to account for uncertainty and variability among the input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prices, installation cost, and repair and maintenance costs). The spreadsheet model uses weighting factors to account for distributions of shipments to different building types and different states to generate LCC savings by efficiency level. Each Monte Carlo simulation consists of 10,000 LCC and PBP calculations using input values that are either sampled from probability distributions and building samples or characterized with single point values. The analytical results include a distribution of 10,000 data points showing the range of LCC savings and PBPs for a given efficiency level relative to the no-new-standards case efficiency forecast. In performing an iteration of the Monte Carlo simulation for a given consumer, product efficiency is chosen based on its probability. If the chosen product efficiency is greater than or equal to the efficiency of the standard level under consideration, the LCC and PBP calculation reveals that a consumer is not impacted by the standard level. By accounting for consumers that already purchase more-efficient products, DOE avoids overstating the potential benefits from increasing product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For each considered efficiency level, DOE determines the value of the first year's energy savings by calculating the quantity of those savings in accordance with the applicable DOE test procedure and then multiplying that amount by the average energy price forecast for the year in which compliance with the amended standards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of commercial packaged boilers as if each were to purchase new equipment in the year that compliance with amended standards is required. The projected compliance date for amended standards is early 2019. Therefore, for purposes of its analysis, DOE used January 1, 2019 as the beginning of compliance with potential amended energy standards for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this section, DOE's LCC and PBP analysis generates values that calculate the payback period for consumers of potential energy conservation standards, which includes, but is not limited to, the 3-year payback period contemplated under the rebuttable presumption test. However, DOE routinely conducts a full economic analysis that considers the full range of impacts, including those to the consumer, manufacturer, Nation, and environment. The results of the full economic analysis serve as the basis for DOE to definitively evaluate the economic justification for a potential standard level (thereby supporting or rebutting the results of any preliminary determination of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LCC and PBP analysis are categorized as (1) inputs for establishing the purchase cost, otherwise known as the total installed cost, and (2) inputs for calculating the operating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energy, maintenance, and repair costs). The following sections contain brief discussions of comments on the inputs and key assumptions of DOE's LCC and PBP analysis and explain how DOE took these comments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distribution channel, DOE derives the consumer equipment cost for the baseline equipment by multiplying the baseline equipment manufacturer production cost and the baseline overall markup (including any applicable sales tax). For each efficiency level above the baseline, DOE derives the consumer equipment cost by adding baseline equipment consumer cost to the product of incremental manufacturer cost and the appropriate incremental overall markup (including any applicable sales tax). This consumer equipment cost is reflective of the representative equipment size analyzed for each equipment class in the engineering analysis. Since the LCC analysis considers consumers whose CPB capacities vary from the representative equipment size, the consumer equipment cost is adjusted to account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examined whether CPB equipment prices changed over time. DOE tentatively determined that there is no clear historical price trend for CPB equipment and used costs established in the engineering analysis directly for determining 2019 equipment prices for the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installation cost is the cost incurred by the consumer for installing the commercial packaged boiler. The cost of installation covers all labor and material costs associated with the replacement of an existing commercial packaged boiler for replacements or the installation of a commercial packaged boiler in a new building, removal of the existing boiler, and any applicable permit fees. DOE estimates the </w:t>
      </w:r>
      <w:r>
        <w:rPr>
          <w:rFonts w:ascii="arial" w:eastAsia="arial" w:hAnsi="arial" w:cs="arial"/>
          <w:b/>
          <w:i w:val="0"/>
          <w:strike w:val="0"/>
          <w:noProof w:val="0"/>
          <w:color w:val="000000"/>
          <w:position w:val="0"/>
          <w:sz w:val="20"/>
          <w:u w:val="none"/>
          <w:vertAlign w:val="baseline"/>
        </w:rPr>
        <w:t> [*15870] </w:t>
      </w:r>
      <w:r>
        <w:rPr>
          <w:rFonts w:ascii="arial" w:eastAsia="arial" w:hAnsi="arial" w:cs="arial"/>
          <w:b w:val="0"/>
          <w:i w:val="0"/>
          <w:strike w:val="0"/>
          <w:noProof w:val="0"/>
          <w:color w:val="000000"/>
          <w:position w:val="0"/>
          <w:sz w:val="20"/>
          <w:u w:val="none"/>
          <w:vertAlign w:val="baseline"/>
        </w:rPr>
        <w:t xml:space="preserve"> installation costs at each considered efficiency level using a variety of sources, including RS Means 2015 facilities construction cost data, manufacturer literature, and information from expert consultants. n45 Appendix 8D of the NOPR TSD contains a detailed discussion of the development of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RS Means, </w:t>
      </w:r>
      <w:r>
        <w:rPr>
          <w:rFonts w:ascii="arial" w:eastAsia="arial" w:hAnsi="arial" w:cs="arial"/>
          <w:b w:val="0"/>
          <w:i/>
          <w:strike w:val="0"/>
          <w:noProof w:val="0"/>
          <w:color w:val="000000"/>
          <w:position w:val="0"/>
          <w:sz w:val="20"/>
          <w:u w:val="none"/>
          <w:vertAlign w:val="baseline"/>
        </w:rPr>
        <w:t>Facilities Maintenance &amp; Repair Cost Data 2015,</w:t>
      </w:r>
      <w:r>
        <w:rPr>
          <w:rFonts w:ascii="arial" w:eastAsia="arial" w:hAnsi="arial" w:cs="arial"/>
          <w:b w:val="0"/>
          <w:i w:val="0"/>
          <w:strike w:val="0"/>
          <w:noProof w:val="0"/>
          <w:color w:val="000000"/>
          <w:position w:val="0"/>
          <w:sz w:val="20"/>
          <w:u w:val="none"/>
          <w:vertAlign w:val="baseline"/>
        </w:rPr>
        <w:t xml:space="preserve"> 73rd ed.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feedback regarding installation costs for commercial packaged boilers, including comments related to installation locations within buildings, venting materials and sizes, and common venting. AHRI commented that boilers located within buildings are usually in the basement or penthouse, and in high-rise buildings, they are often located in intermediate floors, and that vertical vent termination is most common. (AHRI, No. 37 at p. 6) Raypak commented that there is no "typical" boiler installation, and that boilers may be located in basements, mechanical rooms, penthouses, or outdoors and, in high-rise buildings, boilers are often located in intermediate floors due to other system limitations. (Raypak, No. 35 at p. 6) PHCC also noted that likely places for boiler installations are boiler rooms, equipment rooms, basements of hotels, and powerhouses in hospitals. Venting in these installations could be through sidewalls, roofs, masonry, chimneys, or stainless steel vents. (PHCC, No. 39 at p. 138) Lochinvar noted that they do not have specific information but speculate that less than 10% of installations will require significant additional installation expenses, and that most likely this expense would occur for condensing boilers with long vent runs that require custom-designed common vent systems with modulating draft control systems. (Lochinvar, No. 34 at p. 5) ACEEE suggested getting in touch with ASHRAE technical committees to obtain more specific information on design practices, and engaging the engineering community, system designers, and contractors to get a better handle on installation costs. (ACEEE, No. 39 at pp. 105 and 128) PHCC suggested that information on this topic may be more succinctly gathered from a survey sent to contractors, engineers, and manufacturers. (PHCC, No. 39 at p.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costs associated with venting, AHRI, Lochinvar, and Raypak noted that venting material selection is a function of system design, but generally vents 8 inches and larger are metal, 4 inches and smaller are PVC/CPVC/PP, n46 and that 6-inch vents may be either, with Raypak also noting that plastic vent materials that are ULC S636 certified are not readily available in larger sizes. (AHRI, No. 37 at p. 5; Lochinvar, No. 34 at p. 5; Raypak, No. 35 at p. 5) PHCC's comment agreed with the general trend identified as PHCC commented that plastic venting is more common in small-capacity installations, but stainless steel is more typical in larger boilers with an input of 1 MM Btu/h sizes and higher. (PHCC, No. 39 at p. 130) AHRI further noted that stainless steel is rarely used in existing CPB installations with efficiencies in the low 80 percent range. (AHRI, No. 37 at p. 6) However, Raypak noted that the same boiler, when designed to use a Category I vent in a vertical vent situation, may be required to use a Category III stainless steel vent if vented horizontally, but noted that manufacturers have limited knowledge of the final installation and whether a particular boiler will be vented horizontally or vertically. n47 (Raypak, No. 39 at p. 136 and No. 35 at p. 5) PHCC proposed that most of the time condensing boilers are direct vented but noted that they have no specific data to support that opinion. (PHCC, No. 39 at p. 130) Lochinvar commented that almost all condensing commercial packaged boilers have the option of direct venting, and that the majority of non-condensing commercial packaged boilers sold do not have the direct vent option. They further noted that there is a small fraction of near condensing commercial packaged boilers that require stainless steel venting, but almost all are designed for either non-condensing conventional venting or condensing with PVC or stainless steel venting, noting the selection of PVC versus stainless steel being based on size rather than efficiency. (Lochinvar, No. 34 at p. 5) Lochinvar commented that vent termination has historically been vertical, but that direct venting options have caused a trend toward side wall venting, and in some instances that has resulted in functional problems. The trend is currently reverting to vertical venting for all products, with side wall venting currently applied in less than 20% of cases and this percentage is declining. (Lochinvar, No. 34 at p. 5) Raypak stated that direct venting has nothing to do with boiler efficiency, and that many mechanical draft boilers and some natural draft boilers are designed to accommodate standard venting or direct venting, depending on the installation requirements. Raypak commented that stainless steel venting is rarely used in existing installations of commercial packaged boilers with efficiencies below condensing, and that stainless steel venting is much more costly than standard "B-vent" which is used for most non-condensing boilers vented in Category I venting configurations. Raypak also commented that venting configuration for outdoor installations is not addressed by the DOE analysis. (Raypak, No. 35 at p. 5) In the public meeting, AHRI commented that venting approaches may differ between small and large boilers, and that DOE's analysis focuses on fairly small boilers. AHRI offered to discuss this perspective with their members and provide additional information. (AHRI, No. 39 at p.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Plastic polymers: Polyvinyl chloride (PVC), chlorinated polyvinyl chloride (CPVC), polypropylene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DOE interprets the referenced Category III venting requirement to relate to the lack of flue gas buoyancy in horizontally vented equipment, and that venting designed to maintain a positive internal pressure is therefore utilized in these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common venting, Lochinvar commented that multiple-boiler installations are often commonly vented (10% and growing), but that common venting commercial packaged boilers with water heaters is rare, and they advise against mixing unlike product types when venting. (Lochinvar, No. 34 at p. 6) AHRI noted that the National Fuel Gas Code (NFGC) requires condensing boilers to be separately vented, and that it is customary to commonly vent non-condensing boilers, but that commercial water heaters are usually not commonly vented with commercial packaged boilers. (AHRI, No. 37 at p. 6) AHRI further elaborated on this point during the public meeting, stating that common venting may become problematic for the water heater when the boiler is not firing and the vent size is very large. (AHRI, No. 39 at p. 141) Raypak, in their comments submitted in response to the public meeting, also noted that the NFGC addresses common venting of non-condensing Category I equipment, but when it comes to common venting of condensing boilers or other category boilers, the NFGC calls for "Engineered Vent Systems," resulting in additional costs for the design, including a Registered Professional Engineer's stamp (approving the venting system design), and equipment over and above the cost of the vent materials alone. (Raypak, No. 35 at p. 6) Similarly, PVI noted that non-condensing boilers are commonly vented together; condensing boilers are most commonly vented individually, but some (research) projects are investigating what it would </w:t>
      </w:r>
      <w:r>
        <w:rPr>
          <w:rFonts w:ascii="arial" w:eastAsia="arial" w:hAnsi="arial" w:cs="arial"/>
          <w:b/>
          <w:i w:val="0"/>
          <w:strike w:val="0"/>
          <w:noProof w:val="0"/>
          <w:color w:val="000000"/>
          <w:position w:val="0"/>
          <w:sz w:val="20"/>
          <w:u w:val="none"/>
          <w:vertAlign w:val="baseline"/>
        </w:rPr>
        <w:t> [*15871] </w:t>
      </w:r>
      <w:r>
        <w:rPr>
          <w:rFonts w:ascii="arial" w:eastAsia="arial" w:hAnsi="arial" w:cs="arial"/>
          <w:b w:val="0"/>
          <w:i w:val="0"/>
          <w:strike w:val="0"/>
          <w:noProof w:val="0"/>
          <w:color w:val="000000"/>
          <w:position w:val="0"/>
          <w:sz w:val="20"/>
          <w:u w:val="none"/>
          <w:vertAlign w:val="baseline"/>
        </w:rPr>
        <w:t xml:space="preserve"> take to common vent condensing boilers. (PVI, No. 39 at p. 140) Raypak further notes that boilers designed for Category III, if vented horizontally, would use stainless steel to comply with categorization requirements for boilers. (Raypak, No. 35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number of possible variations in venting arrangements is significant and has utilized this input in a logic sequence based upon probability distribution of venting conditions to provide representative venting costs for the range of products analyzed. See chapter 8 and appendix 8D of the NOPR TSD for details on DOE's analysis of installation costs including venting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input on its characterization and development of representative installation costs, including venting costs, in new and replacement commercial package boiler installations, including data to support assumptions on vent sizing, vent length distributions, and vent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Per-Unit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annual natural gas, fuel oil, and electricity consumed by each class of CPB equipment, at each considered efficiency level, based on the energy use analysis described in section IV.E of this document and in chapter 7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 literature review on the direct rebound effect in commercial buildings, and found very few studies, especially with regard to space heating and cooling. In a paper from 1993, Nadel describes several studies on takeback in the wake of utility lighting efficiency programs in the commercial and industrial sectors. n48 The findings suggest that in general the rebound associated with lighting efficiency programs in the commercial and industrial sectors is very small. In a 1995 paper, Eto et al. n49 state that changes in energy service levels after efficiency programs have been implemented have not been studied systematically for the commercial sector. They state that while pre-/post-billing analyses can implicitly pick up the energy use impacts of amenity changes resulting from program participation, the effect is usually impossible to isolate. A number of programs attempted to identify changes in energy service levels through customer surveys. Five concluded that there was no evidence of takeback, while two estimated small amounts of takeback for specific end uses, usually less than 10-percent. A recent paper by Qiu, n50 which describes a model of technology adoption and subsequent energy demand in the commercial building sector, does not present specific rebound percentages, but the author notes that compared with the residential sector, rebound effects are smaller in the commercial building sector. An important reason for this is that in contrast to residential heating and cooling, HVAC operation adjustment in commercial buildings is driven primarily by building managers or owners. The comfort conditions are already established in order to satisfy the occupants, and they are unlikely to change due to installation of higher-efficiency equipment. While it is possible that a small degree of rebound could occur for higher-efficiency CPBs,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 managers may choose to increase the operation time of these heating units, there is no basis to select a specific value. Because the available information suggests that any rebound would be small to negligible, DOE did not include a rebound effect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S. Nadel (1993). The Takeback Effect: Fact or Fiction? Conference paper: American Council for an Energy-Efficient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Eto et al. (1995). Where Did the Money Go? The Cost and Performance of the Largest Commercial Sector DSM Programs. LBL-3820. Lawrence Berkeley National Laboratory, Berkeley,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Qui, Y. (2014). Energy Efficiency and Rebound Effects: An Econometric Analysis of Energy Demand in the Commercial Building Sector. Environmental and Resource Economics, 59(2): 295-335.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includes a rebound effect for several end-uses in the commercial sector, including heating and cooling, as well as improvements in building shell efficiency in its AEO reports. n51 The DOE analysis presented here does not include either the rebound effect for building shell efficiency or the rebound effect for equipment efficiency as is included in the AEO, and therefore cannot definitively assess what the impact of including the rebound effect would have on this analysis. For example, if the building shell efficiency improvements included in the AEO reduced heating and cooling load by 10 percent and the rebound effect on building shell efficiency was assumed to be 10 percent, the total impact would be to reduce heating and cooling loads by 9 percent. The DOE analysis presented here includes only the building shell improvements from the AEO but not the rebound effect on the building shell efficiency improvements. For illustrative purposes, DOE estimates that a rebound effect of 10 percent on CPB efficiency for heating improvements could reduce the energy savings by 0.04 quads (10 percent) over the analysis period. However, this ignores that the proposed rule would have saved more than 0.39 quads if the building shell efficiency rebound effect included in the AEO was also included in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Energy Information Administration, Commercial Demand Module of the National Energy Modeling System: Model Documentation 2013, Washington, DC, November 2013, page 57. The building shell efficiency improvement index in the AEO accounts for reductions in heating and cooling load due to building code enhancements and other improvements that could reduce the buildings need for heating and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seeks data on the assumption that a rebound effect is unlikely to occur for these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 and Energy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derives average monthly energy prices for a number of geographic areas in the United States using the latest data from EIA and monthly energy price factors that it develops. The process then assigns an appropriate energy price to each commercial building and household in the sample, depending on its type (commercial or residential), and its location. DOE derives 2014 annual electricity prices from EIA Form 826 data. n52 DOE obtains the data for natural gas prices from EIA's Natural Gas Navigator, which includes monthly natural gas prices by state for residential, commercial, and industrial commercial consumers. n53 DOE collects 2013 average commercial fuel oil prices from EIA's State Energy Consumption, Price, and Expenditure Estimates (SEDS) and adjusts it using CPI inflation factors to reflect 2014 prices.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U.S. Energy Information Administration. </w:t>
      </w:r>
      <w:r>
        <w:rPr>
          <w:rFonts w:ascii="arial" w:eastAsia="arial" w:hAnsi="arial" w:cs="arial"/>
          <w:b w:val="0"/>
          <w:i/>
          <w:strike w:val="0"/>
          <w:noProof w:val="0"/>
          <w:color w:val="000000"/>
          <w:position w:val="0"/>
          <w:sz w:val="20"/>
          <w:u w:val="none"/>
          <w:vertAlign w:val="baseline"/>
        </w:rPr>
        <w:t>Form EIA-826 Monthly Electric Utility Sales and Revenue Report with State Distributions</w:t>
      </w:r>
      <w:r>
        <w:rPr>
          <w:rFonts w:ascii="arial" w:eastAsia="arial" w:hAnsi="arial" w:cs="arial"/>
          <w:b w:val="0"/>
          <w:i w:val="0"/>
          <w:strike w:val="0"/>
          <w:noProof w:val="0"/>
          <w:color w:val="000000"/>
          <w:position w:val="0"/>
          <w:sz w:val="20"/>
          <w:u w:val="none"/>
          <w:vertAlign w:val="baseline"/>
        </w:rPr>
        <w:t xml:space="preserve"> (EIA-826 Sales and Revenue Spreadsheets) (Available at </w:t>
      </w:r>
      <w:hyperlink r:id="rId43" w:history="1">
        <w:r>
          <w:rPr>
            <w:rFonts w:ascii="arial" w:eastAsia="arial" w:hAnsi="arial" w:cs="arial"/>
            <w:b w:val="0"/>
            <w:i/>
            <w:strike w:val="0"/>
            <w:noProof w:val="0"/>
            <w:color w:val="0077CC"/>
            <w:position w:val="0"/>
            <w:sz w:val="20"/>
            <w:u w:val="single"/>
            <w:vertAlign w:val="baseline"/>
          </w:rPr>
          <w:t>http://www.eia.gov/electricity/data/eia826/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U.S. Energy Information Administration, </w:t>
      </w:r>
      <w:r>
        <w:rPr>
          <w:rFonts w:ascii="arial" w:eastAsia="arial" w:hAnsi="arial" w:cs="arial"/>
          <w:b w:val="0"/>
          <w:i/>
          <w:strike w:val="0"/>
          <w:noProof w:val="0"/>
          <w:color w:val="000000"/>
          <w:position w:val="0"/>
          <w:sz w:val="20"/>
          <w:u w:val="none"/>
          <w:vertAlign w:val="baseline"/>
        </w:rPr>
        <w:t>Natural Gas Prices</w:t>
      </w:r>
      <w:r>
        <w:rPr>
          <w:rFonts w:ascii="arial" w:eastAsia="arial" w:hAnsi="arial" w:cs="arial"/>
          <w:b w:val="0"/>
          <w:i w:val="0"/>
          <w:strike w:val="0"/>
          <w:noProof w:val="0"/>
          <w:color w:val="000000"/>
          <w:position w:val="0"/>
          <w:sz w:val="20"/>
          <w:u w:val="none"/>
          <w:vertAlign w:val="baseline"/>
        </w:rPr>
        <w:t xml:space="preserve"> (Available at: </w:t>
      </w:r>
      <w:hyperlink r:id="rId44" w:history="1">
        <w:r>
          <w:rPr>
            <w:rFonts w:ascii="arial" w:eastAsia="arial" w:hAnsi="arial" w:cs="arial"/>
            <w:b w:val="0"/>
            <w:i/>
            <w:strike w:val="0"/>
            <w:noProof w:val="0"/>
            <w:color w:val="0077CC"/>
            <w:position w:val="0"/>
            <w:sz w:val="20"/>
            <w:u w:val="single"/>
            <w:vertAlign w:val="baseline"/>
          </w:rPr>
          <w:t>http://www.eia.gov/dnav/ng/ng_pri_sum_a_EPG0_PCS_DMcf_a.htm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Source: CPI factors derived from U.S. Department of Labor, Bureau of Labor Statistics, Consumer Price Index (CPI) (Available at: </w:t>
      </w:r>
      <w:hyperlink r:id="rId45" w:history="1">
        <w:r>
          <w:rPr>
            <w:rFonts w:ascii="arial" w:eastAsia="arial" w:hAnsi="arial" w:cs="arial"/>
            <w:b w:val="0"/>
            <w:i/>
            <w:strike w:val="0"/>
            <w:noProof w:val="0"/>
            <w:color w:val="0077CC"/>
            <w:position w:val="0"/>
            <w:sz w:val="20"/>
            <w:u w:val="single"/>
            <w:vertAlign w:val="baseline"/>
          </w:rPr>
          <w:t>www.bls.gov/cpi/cpifiles/cpiai.txt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prices in future years, DOE multiplies the prices by the forecasts of annual average price changes in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To estimate the trend after 2040, DOE uses the average rate of change during 2030-2040. Appendix 8C of the NOPR TSD includes more details on energy prices and trends. </w:t>
      </w:r>
      <w:r>
        <w:rPr>
          <w:rFonts w:ascii="arial" w:eastAsia="arial" w:hAnsi="arial" w:cs="arial"/>
          <w:b/>
          <w:i w:val="0"/>
          <w:strike w:val="0"/>
          <w:noProof w:val="0"/>
          <w:color w:val="000000"/>
          <w:position w:val="0"/>
          <w:sz w:val="20"/>
          <w:u w:val="none"/>
          <w:vertAlign w:val="baseline"/>
        </w:rPr>
        <w:t> [*15872]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maintenance cost is the routine cost incurred by the consumer for maintaining equipment operation. The maintenance cost depends on CPB capacity and heating medium (hot water or steam). DOE used the most recent "RS Means Facility Maintenance and Repair Cost Data" to determine labor and materials costs and maintenance frequency associated with each maintenance task for each CPB equipment class analyzed. n55 Within an equipment class, DOE assumed that the maintenance cost is the same at all non-condensing efficiency levels, and that the maintenance cost at condensing efficiency levels is slightly higher.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RS Means, 2015 Facilities Maintenance &amp; Repair Cost Data (Available at: </w:t>
      </w:r>
      <w:hyperlink r:id="rId46" w:history="1">
        <w:r>
          <w:rPr>
            <w:rFonts w:ascii="arial" w:eastAsia="arial" w:hAnsi="arial" w:cs="arial"/>
            <w:b w:val="0"/>
            <w:i/>
            <w:strike w:val="0"/>
            <w:noProof w:val="0"/>
            <w:color w:val="0077CC"/>
            <w:position w:val="0"/>
            <w:sz w:val="20"/>
            <w:u w:val="single"/>
            <w:vertAlign w:val="baseline"/>
          </w:rPr>
          <w:t>http://rsmeans.com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requested comments regarding the frequency and typical cost of maintenance of minimum- and high-efficiency commercial packaged boilers. ABMA commented that the maintenance costs shown in the analysis seem low and more along the lines of residential maintenance costs. (ABMA, Public Meeting Transcript, No. 39 at p. 65) Similarly, Raypak believes that DOE should not assume that there is a linear relationship between the size of the boiler and the cost of its components. (Raypak, No. 35 at p. 4) Additionally, Raypak commented that the frequency and cost of maintenance, major repairs,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presented in the analysis is representative of older technology boilers, but newer technology boilers have a higher cost of service/repair since they require a higher level of expertise from technicians and specialized equipment. Raypak also added that, although they do not have specific data, Raypak believes that the vast majority of maintenance/service is performed by manufacturer factory-trained personnel due to the specialized equipment and expertise required to properly diagnose and repair current commercial packaged boilers. However, Raypak noted there may be some general maintenance items such as checking for blockages in vent/air intake, looking at burner flame, and maintaining or adjusting water quality that may be accomplished by on-site staff. (Raypak, No. 35 at p. 5) AHRI similarly noted that the industry trend for boiler maintenance is toward using external contractors who specialize in servicing advance design boilers or boiler systems. (AHRI, No. 37 at p. 5) PHCC, on the contrary, noted that maintenance estimates seem adequate. (PHCC, Public Meeting Transcript, No. 39 at p. 146) PHCC also noted that hospitals, larger apartment buildings, and other sites with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maintenance staff are likely to use on-site staff for general boiler maintenance but resort to external contractors for repair work. Large boiler installations are likely to use external contractors for maintenance and repairs. (PHCC, Public Meeting Transcript, No. 39 at p.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stakeholders proposed that DOE implement additional data collection techniques. ACEEE encouraged DOE to look at international experience/comparisons relative to maintenance, maintenance contracts, incremental costs, and lifetime estimates, especially where it related to condensing technology where other regions have more history of condensing technology use. (ACEEE, Public Meeting Transcript, No. 39 at p. 209) PVI suggested that surveying boiler service companies regarding maintenance and frequency of repairs, as well as self-service versus external, may help provide some answers for the analysis. (PVI, No. 39 at p. 153) DOE appreciates the recommendations made by commenters. However, DOE considers the information it was able to collect and examine through publically available sources to be sufficient to perform the NOPR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adherence to a maintenance schedule on commercial packaged boilers, Lochinvar noted that CPB manufacturers recommend annual maintenance, but evidence supports that it is often neglected. (Lochinvar, No. 34 at p. 4) Raypak also noted the lack of maintenance requirements on boilers and the impact that lack of maintenance can have on boiler lifetime. (Raypak, Public Meeting Transcript, No. 39 at p. 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stakeholder comments received regarding CPB equipment maintenance frequency and costs. DOE notes that for the NOPR, DOE is not changing the maintenance cost calculation methodology used in the preliminary analysis as it risks oversimplifying the maintenance cost estimating methodology, which may result in costs that are not reflective of the recommended preventive maintenance tasks performed in the facilities and boiler plants, and not significantly different from one equipment class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estimates used in the analysis are specific to preventive maintenance tasks performed by the in-plant engineer/technician. DOE notes that RS Means is a representative, well-documented, and widely accepted data resource specifically developed for cost estimating purposes depicting typical preventive maintenance tasks and associated costs at different CPB capacities, which is the requirement for the purposes of the LCC analysis. Furthermore, the version of RS Means used for the LCC purposes specifically looked at facilities that used CPB plants and larger commercial packaged boilers to ensure that the costs used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repair cost is the cost to the commercial consumer for replacing or repairing components that have failed in the commercial packaged boiler (such as the ignition, controls, heat exchanger, mechanical vent damper, or power vent blower). In its preliminary analysis, DOE used the latest version of the "RS Means Facility Maintenance and Repair Cost Data" to determine labor and materials costs associated with repairing each CPB equipment class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regarding repair costs for commercial packaged boilers. AHRI commented that DOE should not assume a linear relationship between boiler size and component costs, and both AHRI and Raypak noted that repair costs shown in the analysis may be representative of historical models, but newer commercial models require more specialized equipment and technicians, resulting in an underestimation of repair costs in the analysis for higher efficiency equipment. (AHRI, No. 37 at p. 5; Raypak, No. 35 at p. 4) With respect to heat exchanger repairs, Raypak notes that a replacement heat exchanger would show up simply in replacement parts orders and a replacement boiler would show up as a boiler shipment, but it has no knowledge of the instances of heat exchanger replacements versus boiler replacements in repair/replace decisions. (Raypak, No. 35 at p. 5) Lochinvar comments that in cases where they are involved in the decision to repair or replace a heat exchanger, about 80% of the times the heat exchanger is replaced, and that it is consistent for condensing and non-condensing commercial packaged boilers they manufacture. Lochinvar has no data on repair or replacement percentages for cases in which they are not involved in the decision-making process. (Lochinvar, No. 34 at p. 5) Lochinvar further notes that the type of boiler impacts whether heat exchanger failure will result in replacement rather than repair. (Lochinvar, No. 34 at p. 4) PHCC opines that for smaller boilers, it is likely that the entire boiler would be replaced if there is a heat exchanger failure, but for larger boilers, it is more likely that the heat exchanger would be </w:t>
      </w:r>
      <w:r>
        <w:rPr>
          <w:rFonts w:ascii="arial" w:eastAsia="arial" w:hAnsi="arial" w:cs="arial"/>
          <w:b/>
          <w:i w:val="0"/>
          <w:strike w:val="0"/>
          <w:noProof w:val="0"/>
          <w:color w:val="000000"/>
          <w:position w:val="0"/>
          <w:sz w:val="20"/>
          <w:u w:val="none"/>
          <w:vertAlign w:val="baseline"/>
        </w:rPr>
        <w:t> [*15873] </w:t>
      </w:r>
      <w:r>
        <w:rPr>
          <w:rFonts w:ascii="arial" w:eastAsia="arial" w:hAnsi="arial" w:cs="arial"/>
          <w:b w:val="0"/>
          <w:i w:val="0"/>
          <w:strike w:val="0"/>
          <w:noProof w:val="0"/>
          <w:color w:val="000000"/>
          <w:position w:val="0"/>
          <w:sz w:val="20"/>
          <w:u w:val="none"/>
          <w:vertAlign w:val="baseline"/>
        </w:rPr>
        <w:t xml:space="preserve"> repaired or replaced. (PHCC, Public Meeting Transcript, No. 39 at p.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comments it received regarding repair costs for commercial packaged boilers. Regarding the comments noting an underestimation of repair costs, DOE notes that it used "RS Means Facility Maintenance and Repair Cost Data" n56 to determine repair costs, a well-documented and widely accepted data resource specifically developed for cost estimating purposes. With respect to heat exchanger repairs, DOE considered comments it received and adjusted the repair methodology to allow for noncondensing and condensing heat exchangers to be treated separately in the analysis to account for the impacts of condensation on heat exchanger surfaces.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RS Means, 2015 Facilities Maintenance &amp; Repair Cost Data (Available at: </w:t>
      </w:r>
      <w:hyperlink r:id="rId47" w:history="1">
        <w:r>
          <w:rPr>
            <w:rFonts w:ascii="arial" w:eastAsia="arial" w:hAnsi="arial" w:cs="arial"/>
            <w:b w:val="0"/>
            <w:i/>
            <w:strike w:val="0"/>
            <w:noProof w:val="0"/>
            <w:color w:val="0077CC"/>
            <w:position w:val="0"/>
            <w:sz w:val="20"/>
            <w:u w:val="single"/>
            <w:vertAlign w:val="baseline"/>
          </w:rPr>
          <w:t>http://rsmeans.com/60305.aspx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used the latest "RS Means Facility Maintenance and Repair Cost Data" to determine labor and materials costs associated with repairing each CPB equipment class analyzed. DOE assumes that all commercial packaged boilers have a 1-year warranty for parts and labor and a 10-year warranty on the heat exchanger. For a detailed discussion of the development of repair costs, see appendix 8E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 representativeness of using 1-year as warranty for parts and labor, and 10-years as warranty for the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lifetime is defined as the age at which equipment is retired from service. DOE uses national survey data, published studies, and projections based on manufacturer shipment data to calculate the distribution of CPB lifetimes. DOE based equipment lifetime on a retirement function, which was based on the use of a Weibull probability distribution, with a resulting mean lifetime of 24.8 years. DOE assumed that the lifetime of a commercial packaged boiler is the same across the different equipment classes and efficiency levels. For a detailed discussion of CPB lifetime, see appendix 8F of the NOPR TSD. In the Framework and preliminary analysis documents, DOE sought comment on how it characterized equipment lifetime. DOE also requested any data or information regarding the accuracy of its 24.8-year lifetime and whether equipment lifetime varies based on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various comments regarding CPB lifetime. ABMA, AHRI, and Raypak commented that the average life assumption developed by DOE in the analysis for both condensing and non-condensing boilers is incorrect, noting that condensing boilers have only been on the market for about 15 years, so using an average life of 24.8 years for them in the analysis is unwarranted. ABMA further notes that the preliminary analysis TSD Table 8-F.2.1 shows condensing boilers listed as having 10-15 year life, but the analysis sets lifetime as 24.8 years regardless of CPB technology. ABMA, and Raypak believe the average life of condensing boilers to be in the neighborhood of 15 years, and Lochinvar suggested that condensing product life should be in the range of 19 to 20 years. (ABMA, Public Meeting Transcript, No. 39 at p. 152; Lochinvar, No. 34 at p. 6; Raypak, No. 35 at p. 6; Raypak, Public Meeting Transcript, No. 39 at p. 208) PHCC stated that 25 year lifetime is high for condensing technology. (PHCC, Public Meeting Transcript, No. 39 at p. 149) Lochinvar commented that non-condensing product lifetime estimates are consistent with their experience, but that lifetime calculations must not aggregate condensing and non-condensing products for average lifetime cost calculations. (Lochinvar, No. 34 at p. 6) ACEEE commented that the material the heat exchanger is made of is likely to be as relevant as the condensing versus non-condensing operation of the boiler. (ACEEE, No. 39 at p. 154) AHRI also suggested that lifetime for condensing commercial packaged boilers be determined differently based on their limited history. (AHRI, No. 37 at p. 6) PVI agreed that there is insufficient historical data on condensing boilers to confirm that their lifetime is similar to traditional boilers, but that early evidence suggests they have shorter lives. (PVI, Public Meeting Transcript, No. 39 at p. 151) ABMA and PVI suggested that the life-cycle cost of a condensing boiler installation should consider accelerated replacement of commercial packaged boilers, with ABMA noting that calculations using this proposed lifetime is highly suspect unless the life cycle cost of a condensing boiler installation includes the cost of two condensing boilers, rather than one. (ABMA, No. 33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in developing the residential Boilers Specification Version 3.0 for the ENERGY STAR(R) program in 2013, the Environmental Protection Agency (EPA) held numerous discussions with manufacturers and technical experts to explore the concern that condensing boilers may have a shorter lifetime. In the absence of data showing otherwise, EPA concluded that if condensing boilers are properly installed and maintained, the life expectancy should be similar to noncondensing boilers.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Stakeholder Comments on Draft 1 Version 3.0 Boilers Specification (August 5, 2013) (Available at </w:t>
      </w:r>
      <w:hyperlink r:id="rId48" w:history="1">
        <w:r>
          <w:rPr>
            <w:rFonts w:ascii="arial" w:eastAsia="arial" w:hAnsi="arial" w:cs="arial"/>
            <w:b w:val="0"/>
            <w:i/>
            <w:strike w:val="0"/>
            <w:noProof w:val="0"/>
            <w:color w:val="0077CC"/>
            <w:position w:val="0"/>
            <w:sz w:val="20"/>
            <w:u w:val="single"/>
            <w:vertAlign w:val="baseline"/>
          </w:rPr>
          <w:t>http://www.energystar.gov/products/spec/boilers_specification_version_3_0_pd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discussed boiler life expectancy with the Department for Environment, Food &amp; Rural Affairs (DEFRA) in the United Kingdom, and stated that DEFRA has no data which contradict EPA's conclusion that with proper maintenance, condensing and non-condensing modern boilers have similar life expectancy. n58 Regarding the preliminary analysis TSD Table 8-F.2.1 showing condensing boilers listed as having 10-15 year life, DOE agrees with commenters that it is difficult to estimate lifetime of a technology that has only been broadly available on the market for about 15 years, and DOE believes that the values captured in those survey results may be more representative of early experience based on new technology or installation issues. DOE expects that, as condensing boiler technology matures and installers become better trained at installing and maintaining condensing boilers, lifetime of condensing commercial packaged boilers sold and installed in 2019 and beyond would be expected to be similar to their noncondensing counterparts. While commenters opined on a shorter life for condensing products, no commenters provided definitive data that illustrate a shorter life for condensing boilers relative to their noncondensing counterparts. For the NOPR, DOE did not apply different lifetimes for non-condensing and condensing commercial packaged boilers. However, as noted in the discussion of repair costs in section IV.F.6 of this document, commenters noted the option for and higher likelihood of heat exchanger replacements for commercial packaged boilers instead of boiler replacement. DOE did consider the potential impact of condensate on heat exchangers in commercial packaged boilers that operate in condensing mode and established a higher likelihood and sooner time-to-failure for CPB heat </w:t>
      </w:r>
      <w:r>
        <w:rPr>
          <w:rFonts w:ascii="arial" w:eastAsia="arial" w:hAnsi="arial" w:cs="arial"/>
          <w:b/>
          <w:i w:val="0"/>
          <w:strike w:val="0"/>
          <w:noProof w:val="0"/>
          <w:color w:val="000000"/>
          <w:position w:val="0"/>
          <w:sz w:val="20"/>
          <w:u w:val="none"/>
          <w:vertAlign w:val="baseline"/>
        </w:rPr>
        <w:t> [*15874] </w:t>
      </w:r>
      <w:r>
        <w:rPr>
          <w:rFonts w:ascii="arial" w:eastAsia="arial" w:hAnsi="arial" w:cs="arial"/>
          <w:b w:val="0"/>
          <w:i w:val="0"/>
          <w:strike w:val="0"/>
          <w:noProof w:val="0"/>
          <w:color w:val="000000"/>
          <w:position w:val="0"/>
          <w:sz w:val="20"/>
          <w:u w:val="none"/>
          <w:vertAlign w:val="baseline"/>
        </w:rPr>
        <w:t xml:space="preserve"> exchangers that are exposed to such condensate.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Energy Efficiency Best Practice in Housing, Domestic Condensing Boilers-- The Benefits and the Myths'</w:t>
      </w:r>
      <w:r>
        <w:rPr>
          <w:rFonts w:ascii="arial" w:eastAsia="arial" w:hAnsi="arial" w:cs="arial"/>
          <w:b w:val="0"/>
          <w:i w:val="0"/>
          <w:strike w:val="0"/>
          <w:noProof w:val="0"/>
          <w:color w:val="000000"/>
          <w:position w:val="0"/>
          <w:sz w:val="20"/>
          <w:u w:val="none"/>
          <w:vertAlign w:val="baseline"/>
        </w:rPr>
        <w:t xml:space="preserve"> (2003) (Available at </w:t>
      </w:r>
      <w:hyperlink r:id="rId49" w:history="1">
        <w:r>
          <w:rPr>
            <w:rFonts w:ascii="arial" w:eastAsia="arial" w:hAnsi="arial" w:cs="arial"/>
            <w:b w:val="0"/>
            <w:i/>
            <w:strike w:val="0"/>
            <w:noProof w:val="0"/>
            <w:color w:val="0077CC"/>
            <w:position w:val="0"/>
            <w:sz w:val="20"/>
            <w:u w:val="single"/>
            <w:vertAlign w:val="baseline"/>
          </w:rPr>
          <w:t>http://www.west-norfolk.gov.uk/pdf/CE52.pdf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on how DOE adjusted the repair costs for heat exchangers may be found in appendix 8E of the NOPR TSD. For more details on how DOE derived the CPB lifetime, see appendix 8F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is the rate at which future expenditures and savings are discounted to establish their present value. DOE estimates discount rates separately for commercial and residential end users. For commercial end users, DOE calculates commercial discount rates as the weighted average cost of capital (WACC), using the Capital Asset Pricing Model (CAPM). For residential end users, DOE calculates discount rates as the weighted average real interest rate across consumer debt and equity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the discount rates by estimating the cost of capital of companies that purchase commercial packaged boilers. Damodaran On line is a widely used source of information about company debt and equity financing for most types of firms, and was the primary source of data for the commercial discount rate analysis. n59 To derive discount rates for residential applications, DOE used publicly available data (the Federal Reserve Board's "Survey of Consumer Finances") to estimate a consumer's opportunity cost of funds related to appliance energy cost savings and maintenance costs. n60 More details regarding DOE's estimates of consumer discount rates are provided in chapter 8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Damodaran Online, </w:t>
      </w:r>
      <w:r>
        <w:rPr>
          <w:rFonts w:ascii="arial" w:eastAsia="arial" w:hAnsi="arial" w:cs="arial"/>
          <w:b w:val="0"/>
          <w:i/>
          <w:strike w:val="0"/>
          <w:noProof w:val="0"/>
          <w:color w:val="000000"/>
          <w:position w:val="0"/>
          <w:sz w:val="20"/>
          <w:u w:val="none"/>
          <w:vertAlign w:val="baseline"/>
        </w:rPr>
        <w:t>The Data Page: Cost of Capital by Industry Sector,</w:t>
      </w:r>
      <w:r>
        <w:rPr>
          <w:rFonts w:ascii="arial" w:eastAsia="arial" w:hAnsi="arial" w:cs="arial"/>
          <w:b w:val="0"/>
          <w:i w:val="0"/>
          <w:strike w:val="0"/>
          <w:noProof w:val="0"/>
          <w:color w:val="000000"/>
          <w:position w:val="0"/>
          <w:sz w:val="20"/>
          <w:u w:val="none"/>
          <w:vertAlign w:val="baseline"/>
        </w:rPr>
        <w:t xml:space="preserve"> (2004-2013) (Available at: </w:t>
      </w:r>
      <w:hyperlink r:id="rId50"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The Federal Reserve Board, Survey of Consumer Finances,</w:t>
      </w:r>
      <w:r>
        <w:rPr>
          <w:rFonts w:ascii="arial" w:eastAsia="arial" w:hAnsi="arial" w:cs="arial"/>
          <w:b w:val="0"/>
          <w:i w:val="0"/>
          <w:strike w:val="0"/>
          <w:noProof w:val="0"/>
          <w:color w:val="000000"/>
          <w:position w:val="0"/>
          <w:sz w:val="20"/>
          <w:u w:val="none"/>
          <w:vertAlign w:val="baseline"/>
        </w:rPr>
        <w:t xml:space="preserve"> (1989, 1992, 1995, 1998, 2001, 2004, 2007, 2010) (Available at: </w:t>
      </w:r>
      <w:hyperlink r:id="rId51"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No-New-Standards-Case Market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LCC analysis, DOE analyzes the considered efficiency levels relative to a no-new-standards-case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efficiency standards). This analysis requires an estimate of the distribution of equipment efficiencies in the no-new-standards-case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consumers would have purchased in the compliance year in the absence of amended standards). DOE refers to this distribution of equipment energy efficiencies as the no-new-standards-case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preliminary analysis, DOE used the AHRI directory to analyze trends in product classes and efficiency levels from 2007 to 2014 to determine the anticipated no-new-standards-case efficiency distribution in 2019, the assumed compliance year for amended standards. The trends show the market moving toward higher efficiency commercial packaged boilers, and DOE accounted for the trend in its no-new-standards-case projection.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requested data on current CPB efficiency market shares (of shipments) by equipment class, and also similar historical data. DOE also requested information on expected trends in efficiency over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various comments regarding the data contained in the AHRI database and its use in the analysis. PVI commented that there is no link between the number of listings in the AHRI directory and sales volumes of any particular product type. (PVI, Public Meeting Transcript, No. 39 at pp. 158-159) Raypak noted that the trend toward condensing technologies for some product classes is evident in the number of series of boilers now in their catalog that are condensing, compared to 10 years ago when only one single system was available. (Raypak, No. 35 at p. 4) AHRI similarly noted the continuing growth in condensing boilers and improvements in overall efficiencies and offered to provide additional data related to distribution of equipment by efficiencies. (AHRI, Public Meeting Transcript, No. 39 at p. 158) Relative to trends in condensing oil boilers, AHRI commented that oil condensing products are rare and there may not be a big enough sample to establish any trends in the technology. (AHRI, Public Meeting Transcript, No. 39 at pp. 176-177)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the AHRI directory of commercial packaged boilers is not an indicator of shipments in the industry, but it does reflect the general trends taken by manufacturers to meet their consumer's needs. Due to the lack of any other data source documenting the historical trend for product efficiency and condensing technology, the NOPR analysis used the AHRI directory to analyze trends in product classes and efficiency levels from 2007 to 2015 to determine the anticipated no-new-standards-case efficiency distribution in 2019, the assumed compliance year for amended standards. The trends show the market moving toward higher efficiency commercial packaged boilers, and DOE accounted for the trend in its no-new-standards-case projection. As it relates to condensing oil boilers, DOE observed, as a result of incorporating 2015 AHRI directory data, that for a second year in a row (in 2014 and 2015), the number of condensing oil boilers in the AHRI directory was lower than in previous years. As a result, DOE adjusted the condensing boiler trends for small and large oil commercial packaged boilers. DOE considered alternatives to estimate sales, and the shipments methodology has been updated to not depend on the AHRI directory. An overview of the shipments methodology is provided in section IV.G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IV.8 presents the estimated no-new-standards-case efficiency market shares for each analyzed CPB equipment class in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IV.8--Estimated No-New-Standards Case Boiler Efficiency Distribution *</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Analyzed Commercial Packaged Boiler Equipment Classes * * in 2019</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SGHW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LGHW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SOHW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LOHW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SGST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LGST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SOST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may not add up to 100%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SGHW = Small Gas-fired Hot Water; LGHW = Large Gas-fired Hot Water; SOHW = Small Oil-fired Hot Water; LOHW = Large Oil-fired Hot Water; SGST = Small Gas-fired Steam; LGST = Large Gas-fired Steam; SOST = Small Oil-fired Steam; LOST = Large Oil-fired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 is zero due to rounding.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new equipment in the year that compliance with amended standards is required. EPCA directs DOE to publish a final rule amending the standard for the equipment covered by this NOPR not later than 2 years after a notice of proposed rulemaking is issued. (</w:t>
      </w:r>
      <w:hyperlink r:id="rId13" w:history="1">
        <w:r>
          <w:rPr>
            <w:rFonts w:ascii="arial" w:eastAsia="arial" w:hAnsi="arial" w:cs="arial"/>
            <w:b w:val="0"/>
            <w:i/>
            <w:strike w:val="0"/>
            <w:noProof w:val="0"/>
            <w:color w:val="0077CC"/>
            <w:position w:val="0"/>
            <w:sz w:val="20"/>
            <w:u w:val="single"/>
            <w:vertAlign w:val="baseline"/>
          </w:rPr>
          <w:t>42 U.S.C. 6313(a)(6)(C)(iii)</w:t>
        </w:r>
      </w:hyperlink>
      <w:r>
        <w:rPr>
          <w:rFonts w:ascii="arial" w:eastAsia="arial" w:hAnsi="arial" w:cs="arial"/>
          <w:b w:val="0"/>
          <w:i w:val="0"/>
          <w:strike w:val="0"/>
          <w:noProof w:val="0"/>
          <w:color w:val="000000"/>
          <w:position w:val="0"/>
          <w:sz w:val="20"/>
          <w:u w:val="none"/>
          <w:vertAlign w:val="baseline"/>
        </w:rPr>
        <w:t>) As discussed previously in section III.A of this document, for purposes of its analysis, DOE used 2019 as the first year of compliance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Payback Period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are the total installed cost of the equipment to the consumer for each efficiency level and the average annual operating expenditures for each efficiency level. The PBP calculation uses the same inputs as the LCC analysis, except that discount rates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Rebuttable-Presumption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equipment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 The rebuttable presumption criteria of less than 3-year payback was not achieved for any of the equipment classes analyzed for this rulemaking. More details on this may be found in Table V.27.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shipments analysis, DOE developed shipment projections for commercial packaged boilers and, in turn, calculated equipment stock over the course of the analysis period. DOE uses the shipments projection and the equipment stock to calculate the national impacts of potential amended energy conservation standards on energy use, NPV, and future manufacturer cash flows. DOE develops shipment projections based on estimated historical shipment and an analysis of key market drivers for each kind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estimated historical shipments of commercial packaged boilers based on historical shipments of residential boilers and percent share of equipment classes in the AHRI model directory. During the preliminary public meeting and in written comments in response to DOE's preliminary analysis, the stakeholders questioned the data sources DOE used in its shipment analysis. PVI commented that the number of listings in the AHRI model directory and sales volumes of any particular equipment class are not correlated. (PVI, Public Meeting Transcript, No. 39 at pp. 158-159)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the AHRI directory of commercial packaged boilers is not an indicator of shipments in the industry and DOE modified its analysis approach to project shipments from 2014 through the end of the thirty year analysis period 2018-2047. DOE estimated historical shipments in its NOPR analysis from stock estimates based on the CBECS data series from 1979 to 2012. Since no CBECS survey was conducted prior to 1979, DOE used the trends in historical shipment data for residential boilers to estimate the historical shipments for the 1960-1978 time period. For estimation of stocks of gas and oil boilers, DOE used the data on growth of commercial building floor space for nine building types from AEO reports, percent floor space heated by CPB data from CBECS for these building types, and estimated saturations of commercial packaged boilers in these building types. From these stock estimates, DOE derived the shipments of gas-fired and oil-fired commercial packaged boilers using separate correlations between stock and shipment for gas and oil boilers. As noted in section IV.E.2 of this document, to obtain individual equipment class shipments from the aggregate values, DOE used the steam to </w:t>
      </w:r>
      <w:r>
        <w:rPr>
          <w:rFonts w:ascii="arial" w:eastAsia="arial" w:hAnsi="arial" w:cs="arial"/>
          <w:b/>
          <w:i w:val="0"/>
          <w:strike w:val="0"/>
          <w:noProof w:val="0"/>
          <w:color w:val="000000"/>
          <w:position w:val="0"/>
          <w:sz w:val="20"/>
          <w:u w:val="none"/>
          <w:vertAlign w:val="baseline"/>
        </w:rPr>
        <w:t> [*15876] </w:t>
      </w:r>
      <w:r>
        <w:rPr>
          <w:rFonts w:ascii="arial" w:eastAsia="arial" w:hAnsi="arial" w:cs="arial"/>
          <w:b w:val="0"/>
          <w:i w:val="0"/>
          <w:strike w:val="0"/>
          <w:noProof w:val="0"/>
          <w:color w:val="000000"/>
          <w:position w:val="0"/>
          <w:sz w:val="20"/>
          <w:u w:val="none"/>
          <w:vertAlign w:val="baseline"/>
        </w:rPr>
        <w:t xml:space="preserve"> hot water and oil to gas shift trends DOE derived from the EPA database for space heating boilers. The equipment class shipments were further disaggregated between shipment to new construction and replacement/switch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equipment class shipments for new construction, DOE relied on building stock and floor space data obtained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DOE assumes that CPB equipment is used in both commercial and residential multi-family dwellings. DOE estimated a total saturation rate for each equipment class based on prior CBECS data and size distribution of space heating boilers in an EPA database. For estimation of saturation rates in the new construction, DOE compared the area heated by boilers in commercial buildings for two different nine year periods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2000-2012 covered in CBECS 2012 and 1995-2003 covered in CBECS 2003). The new construction saturation rates were derived from the calculated saturation rate averaged over the 1995-2003 period and adjusted for the trends in the area heated by boilers, as well as oil to gas shift trends in CBECS 2012. The new construction saturation rates were projected into the future considering currently observed trends from CBECS 2012 and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(for oil to gas shifts). For residential multi-family units, DOE used RECS 2009 data and considered multi-family buildings constructed in the 9 year period from 2001 to 2009 as new construction for calculating the new construction saturation. DOE assumed that the new construction saturation trend in multi-family buildings for the period of analysis is identical to that for commercial buildings. DOE applied these new construction saturation rates to new building additions in each year over the analysis period (2018-2049), yielding shipments to new buildings. The building stock and additions projections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are shown in Table IV.9.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received several comments on results of the preliminary shipment analysis. Lochinvar commented that the flat shipment projection from 2020 shown in the preliminary analysis is unrealistic under the growing national economy. (Lochinvar, No.34 at p. 6) Lochinvar further commented that the rapid decline of natural draft boilers assumed in the preliminary shipment analysis is highly overstated and the impact of any proposed efficiency standard on shipment of non-condensing, natural draft and steam boilers would be insignificant under less stringent efficiency standards, but could be significant under very stringent standards. (Lochinvar, No.34 at pp. 6 and 7) In the NOPR analysis, DOE analyzed eight equipment classes that are no longer separated by different draft types. Consequently, DOE's shipment projections were made on an aggregate basis including both natural draft and mechanical draft equipment for each equipment class examined. As to the impact of the stringency of standards on shipments of lower efficiency boilers like natural draft and steam boilers, DOE notes that its method of analysis takes how consumers and manufacturers are impacted by the proposed standards into full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DOE should make an effort to determine the trend for numbers of boilers installed in new building construction in order to improve the shipments projection. (AHRI, Public Meeting Transcript, No. 39 at p. 168-169) In the NOPR shipment analysis, DOE used a different methodology that takes into consideration the current trends of usage of commercial packaged boilers for heating in commercial buildings as evidenced in CBECS 2012. This analysis could be refined further as more data from CBECS 2012 become available. AHRI also indicated that it is in discussions with its members to estimate shipments in different efficiency bins and historical shipment weighted efficiency levels. (AHRI, Public Meeting Transcript No. 39 at p. 96) DOE has not received this data from AHRI. ACEEE commented that it would like to see capacity class shipment estimates. (ACEEE, No. 39 at p. 50) DOE estimated percent share of different capacity bins across the equipment classes as detailed in the TSD chapter 9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IV.9--Building Stock Projections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floorspace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 stock</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floorspace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sq.</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sq.</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 of</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149.48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EIA AEO2015.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feedback on the assumptions used to develop historical and projected shipments of commercial packaged boilers and the representativeness of its estimates of projected shipments. DOE also requests information on historical shipments of commercial packaged boilers including shipments by equipment class for small, large, and very large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Commercial consumer purchase decisions are influenced by the purchase price and operating cost of the equipment, and therefore may be different across standards levels. To estimate the impact of the increase in relative price from a particular standard level on CPB shipments, DOE assumes that a portion of affected commercial consumers are more price-sensitive and would repair equipment purchased prior to enactment of the standard (in 2019) rather than replace it, extending the life of the equipment by 6 years. DOE models this impact using a relative price elasticity approach. When the extended repaired units fail after 6 more years, DOE assumes they will be replaced with new ones. A detailed description of the extended repair </w:t>
      </w:r>
      <w:r>
        <w:rPr>
          <w:rFonts w:ascii="arial" w:eastAsia="arial" w:hAnsi="arial" w:cs="arial"/>
          <w:b/>
          <w:i w:val="0"/>
          <w:strike w:val="0"/>
          <w:noProof w:val="0"/>
          <w:color w:val="000000"/>
          <w:position w:val="0"/>
          <w:sz w:val="20"/>
          <w:u w:val="none"/>
          <w:vertAlign w:val="baseline"/>
        </w:rPr>
        <w:t> [*15877] </w:t>
      </w:r>
      <w:r>
        <w:rPr>
          <w:rFonts w:ascii="arial" w:eastAsia="arial" w:hAnsi="arial" w:cs="arial"/>
          <w:b w:val="0"/>
          <w:i w:val="0"/>
          <w:strike w:val="0"/>
          <w:noProof w:val="0"/>
          <w:color w:val="000000"/>
          <w:position w:val="0"/>
          <w:sz w:val="20"/>
          <w:u w:val="none"/>
          <w:vertAlign w:val="baseline"/>
        </w:rPr>
        <w:t xml:space="preserve"> calculations is provided in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extrapolation of a residential product price elasticity to commercial packaged boilers used in the preliminary analyses, interested parties noted concerns regarding the application of residential data to commercial equipment. Specifically, AHRI noted that residential and commercial boiler consumers have a different pricing structure and consumer relationship, and expressed concern over the use of residential data for commercial packaged boilers. (AHRI, Public Meeting Transcript, No. 39 at p. 169-170)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also noted that, because of the higher installation costs and time involved, commercial boiler owners would be more likely to repair an existing boiler than to replace it. (AHRI, No. 37 at p. 6) Similarly, ACEEE expressed concerns regarding price sensitivity and the application of a residential price elasticity to a commercial equipment and how the resulting numbers will be interpreted in downstream analyses. (ACEEE, Public Meeting Transcript, No. 39 at p. 172-173) Both AHRI and Raypak remarked that while an incremental increase in the cost associated with a new standard would not be expected to have a significant effect on shipments, larger increases associated with the cost of the standard would result in lower shipments as existing consumers would be more likely to repair an existing boiler rather than replace it. (AHRI, No. 37 at p. 7; Raypak, No. 35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AHRI and Raypak comments regarding the impact of increased repairs on shipments, DOE determined that use of price elasticity to model the extended repair option should be maintained for the NOPR analysis. In response to the AHRI and ACEEE comments, DOE revised the price elasticity from a residential product study to use sales and price data for commercial unitary air conditioners n61 to more closely approximate an elasticity for commercial equipment (data specific to commercial packaged boilers were not available). DOE notes that it performed two sensitivity analyses--one without the use of the price elasticity, and one in which the price elasticity was increased ten-fold. The results of the sensitivity analyses are presented in appendix 10D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Department of Energy, </w:t>
      </w:r>
      <w:r>
        <w:rPr>
          <w:rFonts w:ascii="arial" w:eastAsia="arial" w:hAnsi="arial" w:cs="arial"/>
          <w:b w:val="0"/>
          <w:i/>
          <w:strike w:val="0"/>
          <w:noProof w:val="0"/>
          <w:color w:val="000000"/>
          <w:position w:val="0"/>
          <w:sz w:val="20"/>
          <w:u w:val="none"/>
          <w:vertAlign w:val="baseline"/>
        </w:rPr>
        <w:t>Technical Support Document: Energy Efficiency Program for Consumer Products and Commercial and Industrial Equipment: Distribution Transformers, Chapter 9 Shipments Analysis</w:t>
      </w:r>
      <w:r>
        <w:rPr>
          <w:rFonts w:ascii="arial" w:eastAsia="arial" w:hAnsi="arial" w:cs="arial"/>
          <w:b w:val="0"/>
          <w:i w:val="0"/>
          <w:strike w:val="0"/>
          <w:noProof w:val="0"/>
          <w:color w:val="000000"/>
          <w:position w:val="0"/>
          <w:sz w:val="20"/>
          <w:u w:val="none"/>
          <w:vertAlign w:val="baseline"/>
        </w:rPr>
        <w:t xml:space="preserve"> (April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shipment projection is shown in Table IV.10.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Table IV.10--Shipments of Commercial Packaged Boiler Equipment</w:t>
            </w: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[Thousands]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SGHW CPB *</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LGHW CPB</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SOHW CPB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LOHW CPB</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SGST CPB</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LGST CPB</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SOST CPB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LOST CPB</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16,907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2,707</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17,201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18,512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19,066</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1,406</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3,365</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22,953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24,363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4,067</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SGHW = Small Gas-fired Hot Water; LGHW = Large Gas-fired Hot Water; SOHW = Small Oil-fired Hot Water; LOHW = Large Oil-fired Hot Water; SGST = Small Gas-fired Steam; LGST = Large Gas-fired Steam; SOST = Small Oil-fired Steam; LOST = Large Oil-fired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estimated energy usage of CPB equipment differs by commercial and residential setting, the NIA employs the same fractions of shipments (or sales) to commercial and to residential commercial consumers as is used in the LCC analysis. The fraction of shipments by type of commercial consumer is shown in Table IV.11.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IV.11--Shipment Shares by Type of Commercial Consumer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feedback on the assumptions used to estimate the impact of relative price increases on commercial packaged boiler shipments due to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impact analysis (NIA) analyzes the effects of a potential energy conservation standard from a national perspective. The NIA assesses the national energy savings (NES) and the national NPV of total consumer costs and savings that would be expected to result from amended standards at specific efficiency levels. The NES and NPV are analyzed at specific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TSLs) for each equipment class of CPB equipment. DOE calculates the NES and NPV based on projections </w:t>
      </w:r>
      <w:r>
        <w:rPr>
          <w:rFonts w:ascii="arial" w:eastAsia="arial" w:hAnsi="arial" w:cs="arial"/>
          <w:b/>
          <w:i w:val="0"/>
          <w:strike w:val="0"/>
          <w:noProof w:val="0"/>
          <w:color w:val="000000"/>
          <w:position w:val="0"/>
          <w:sz w:val="20"/>
          <w:u w:val="none"/>
          <w:vertAlign w:val="baseline"/>
        </w:rPr>
        <w:t> [*15878] </w:t>
      </w:r>
      <w:r>
        <w:rPr>
          <w:rFonts w:ascii="arial" w:eastAsia="arial" w:hAnsi="arial" w:cs="arial"/>
          <w:b w:val="0"/>
          <w:i w:val="0"/>
          <w:strike w:val="0"/>
          <w:noProof w:val="0"/>
          <w:color w:val="000000"/>
          <w:position w:val="0"/>
          <w:sz w:val="20"/>
          <w:u w:val="none"/>
          <w:vertAlign w:val="baseline"/>
        </w:rPr>
        <w:t xml:space="preserve"> of annual equipment shipments, along with the annual energy consumption and total installed cost data from the LCC analysis. For the NOPR analysis, DOE forecasted the energy savings, operating cost savings, equipment costs, and NPV of commercial consumer benefits for equipment sold from 2019 through 2048--the year in which the last standards-compliant equipment would be shipped during the 30-year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the analysis more accessible and transparent to all interested parties, DOE uses a computer spreadsheet model to calculate the energy savings and the national consumer costs and savings from each TSL. n62 Chapter 10 and appendix 10A of the NOPR TSD explain the models and how to use them, and interested parties can review DOE's analyses by interacting with these spreadsheets. The models and documentation are available on DOE's Web site. n63 The NIA calculations are based on the annual energy consumption and total installed cost data from the energy use analysis and the LCC analysis. DOE forecasted the lifetime energy savings, energy cost savings, equipment costs, and NPV of consumer benefits for each equipment class for equipment sold from 2019 through 2048--the year in which the last standards-compliant equipment would be shipped during the 30-year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DOE understands that MS Excel is the most widely used spreadsheet calculation tool in the United States and there is general familiarity with its basic features. Thus, DOE's use of MS Excel as the basis for the spreadsheet models provides interested parties with access to the models within a familiar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DOE's Web page on commercial packaged boiler equipment is available at: </w:t>
      </w:r>
      <w:hyperlink r:id="rId52" w:history="1">
        <w:r>
          <w:rPr>
            <w:rFonts w:ascii="arial" w:eastAsia="arial" w:hAnsi="arial" w:cs="arial"/>
            <w:b w:val="0"/>
            <w:i/>
            <w:strike w:val="0"/>
            <w:noProof w:val="0"/>
            <w:color w:val="0077CC"/>
            <w:position w:val="0"/>
            <w:sz w:val="20"/>
            <w:u w:val="single"/>
            <w:vertAlign w:val="baseline"/>
          </w:rPr>
          <w:t>http://www1.eere.energy.gov/buildings/appliance_standards/product.aspx/productid/74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the impacts of potential new and amended standards for commercial packaged boilers by comparing no-new-standards-case projections with standards-case projections. The no-new-standards-case projections characterize energy use and consumer costs for each equipment class in the absence of new and amended energy conservation standards. DOE compared these projections with those characterizing the market for each equipment class if DOE were to adopt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standards cases) for that class. For the standards cases, DOE assumed a "roll-up" scenario in which equipment at efficiency levels that do not meet the standard level under consideration would "roll up" to the efficiency level that just meets the proposed standard level, and equipment already being purchased at efficiency levels at or above the proposed standard level would remain unaffected.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LCC analysis, the NES analysis does not use distributions for inputs or outputs, but relies on national average equipment costs and energy costs. DOE used the NES spreadsheet to perform calculations of energy savings and NPV using the annual energy consumption, maintenance and repair costs, and total installed cost data from the LCC analysis. The NIA also uses projections of energy prices and building stock and additions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Additionally, DOE analyzed scenarios that used inputs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lower and higher energy price trends, respectively, compared to the reference case. NIA results based on these cases are presented in appendix 10D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description of the procedure to calculate NES and NPV and inputs for this analysis are provided in chapter 10 of the NOPR TSD. Table IV.12 summarizes the inputs and methods DOE used for the NIA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of Analysis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distributions are forecasted based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Forecasted Efficiencies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efficiency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a "roll-up" scenario.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Forecasted Efficiencies</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 at each TSL.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at each TSL.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forecast of future product 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historical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energy consumption per unit, and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AEO2015 forecasts (to 2040) and extrapolation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2110.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Site-to-Source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 yearly and is generated by NEMS-BT.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Factors</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and 7 percent real.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expenses discounted to 2015, when the NOPR</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published.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Efficiency in the No-New-Standards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IV.F.9 of this document, DOE uses a no-new-standards-case distribution of efficiency levels to project what the CPB equipment market would look like in the absence of amended standards. DOE applied the percentages of models within each efficiency range to the total unit shipments for a given equipment class to estimate the distribution of shipments for the no-new-standards case. Then, from those market shares and projections of shipments by equipment class, DOE extrapolated future equipment efficiency trends both for a no-new-standards-case scenario and for standards-case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efficiency level analyzed, DOE used a "roll-up" scenario to establish the market shares by efficiency level for the year that compliance would be required with amended standards. The analysis starts with the no-new-standards-case distributions wherein shipments are assumed to be distributed across efficiency levels. When potential standard levels above the base level are analyzed, as the name implies, the shipments in the no-new-standards case that did not meet the efficiency standard level being considered would roll up to meet the amended standard level. This information also suggests that equipment efficiencies in the no-new-standards case that were above the standard level under consideration would not be affected. </w:t>
      </w:r>
      <w:r>
        <w:rPr>
          <w:rFonts w:ascii="arial" w:eastAsia="arial" w:hAnsi="arial" w:cs="arial"/>
          <w:b/>
          <w:i w:val="0"/>
          <w:strike w:val="0"/>
          <w:noProof w:val="0"/>
          <w:color w:val="000000"/>
          <w:position w:val="0"/>
          <w:sz w:val="20"/>
          <w:u w:val="none"/>
          <w:vertAlign w:val="baseline"/>
        </w:rPr>
        <w:t> [*15879]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efficiency trends in the no-new-standards-case and standards cases are described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year in the forecast period, DOE calculates the national energy savings for each standard level by multiplying the shipments of commercial packaged boilers by the per-unit annual energy savings. Cumulative energy savings are the sum of the annual energy savings over the lifetime of all equipment shipped during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NES are (1) annual energy consumption per unit, (2) shipments, (3) equipment stock, and (4) site-to-source and full-fuel-cycle conversion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NES associated with the difference between the per-unit energy use under a standards-case scenario and the per-unit energy use in the no-new-standards case. The average energy per unit used by the CPB equipment stock gradually decreases in the standards case relative to the no-new-standards case as more-efficient CPB units gradually replaces less-efficient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energy consumption values for each equipment class are taken from the LCC spreadsheet for each efficiency level and weighted based on market efficiency distributions. To estimate the total energy savings for each efficiency level, DOE first calculated the per-unit energy reduction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the energy directly consumed by a unit of equipment in operation in the no-new-standards case and the standards case) for each class of CPB equipment for each year of the analysis period. The analysis period begins with the expected compliance date of amended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2019, or 3 years after the publication of a final rule issued as a result of this rulemaking). Second, DOE determined the annual site energy savings by multiplying the stock of each equipment class by vintage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of shipment) by the per-unit energy reduction for each vintage (from step one). Third, DOE converted the annual site electricity savings into the annual amount of energy saved at the source of electricity generation (the source or primary energy), using a time series of conversion factors derived from the latest version of EIA's National Energy Modeling System (NEMS). Finally, DOE summed the annual primary energy savings for the lifetime of units shipped over a 30-year period to calculate the total NES. DOE performed these calculations for each efficiency level considered for CPB equipment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In the case of electricity use and savings, primary energy savings includes the energy lost in the power system in the form of losses as well as the energy input required at the electric generation station in order to convert and deliver the energy required at the site of consumption. DOE uses a multiplicative factor called "site-to-source conversion factor" to convert site energy consumption to primary energy consumption. In response to the recommendations of a committee on "Point-of-Use and Full- 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While DOE stated in that notice that it intended to use the Greenhouse Gases, Regulated Emissions, and Energy Use in Transportation (GREET) model to conduct the analysis, it also said it would review alternative methods, including the use of EIA's NEMS. After evaluating both models and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a more appropriate tool for its FFC analysis as well as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 received one comment, which was supportive of the use of NEMS for DOE's FFC analysis. n64 The approach used for this NOPR analysis, the site-to-source ratios, and the FFC multipliers that were applied, are described in appendix 10B of the NOPR TSD. NES results are presented in both primary and FFC savings in section V.B.3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Docket ID: EERE-2010-BT-NOA-0028-0048, comment by Kirk Lundblade. Available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;D=EERE-2010-BT-NOA-0028.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of Consumer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of the considered equipment are (1) total annual installed cost, (2) total annual savings in operating costs, and (3) a discount factor. DOE calculates the lifetime net savings for equipment shipped each year as the difference between total operating cost savings and increases in total installed costs. DOE calculates lifetime operating cost savings over the life of each commercial packaged boiler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Annual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difference between the equipment costs under the standard-level case and the no-new-standards case in order to obtain the net equipment cost increase resulting from the higher standard level. As noted in section IV.F.1 of this document, DOE used a constant real price assumption as the default price projection; the cost to manufacture a given unit of higher efficiency neither increases nor decreases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Total Annual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difference between the no-new-standards-case operating costs and the standard-level operating costs in order to obtain the net operating cost savings from each higher efficiency level. DOE determined the difference between the net operating cost savings and the net equipment cost increase in order to obtain the net savings (or expense) for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discounted the annual net savings (or expenses) to 2015 for CPB equipment bought on or after 2019 and summed the discounted values to provide the NPV for an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OMB's guidelines on regulatory analysis, n65 DOE calculated NPV using both a 7-percent and a 3-percent real discount rate. The 7-percent rate is an estimate of the average before-tax rate of return on private capital in the U.S. economy. DOE used this discount rate to approximate the opportunity cost of capital in the private sector, because recent OMB analysis has found the average rate of return on capital to be near this rate. DOE used the 3-percent rate to capture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products and reduced purchases of energy). This rate represents the rate at which society discounts future consumption flows to their present value. This rate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minus annual rate of change in the </w:t>
      </w:r>
      <w:r>
        <w:rPr>
          <w:rFonts w:ascii="arial" w:eastAsia="arial" w:hAnsi="arial" w:cs="arial"/>
          <w:b/>
          <w:i w:val="0"/>
          <w:strike w:val="0"/>
          <w:noProof w:val="0"/>
          <w:color w:val="000000"/>
          <w:position w:val="0"/>
          <w:sz w:val="20"/>
          <w:u w:val="none"/>
          <w:vertAlign w:val="baseline"/>
        </w:rPr>
        <w:t> [*15880] </w:t>
      </w:r>
      <w:r>
        <w:rPr>
          <w:rFonts w:ascii="arial" w:eastAsia="arial" w:hAnsi="arial" w:cs="arial"/>
          <w:b w:val="0"/>
          <w:i w:val="0"/>
          <w:strike w:val="0"/>
          <w:noProof w:val="0"/>
          <w:color w:val="000000"/>
          <w:position w:val="0"/>
          <w:sz w:val="20"/>
          <w:u w:val="none"/>
          <w:vertAlign w:val="baseline"/>
        </w:rPr>
        <w:t xml:space="preserve"> Consumer Price Index), which has averaged about 3 percent on a pre-tax basis for the past 30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Office of Management and Budget, section E in </w:t>
      </w:r>
      <w:r>
        <w:rPr>
          <w:rFonts w:ascii="arial" w:eastAsia="arial" w:hAnsi="arial" w:cs="arial"/>
          <w:b w:val="0"/>
          <w:i/>
          <w:strike w:val="0"/>
          <w:noProof w:val="0"/>
          <w:color w:val="000000"/>
          <w:position w:val="0"/>
          <w:sz w:val="20"/>
          <w:u w:val="none"/>
          <w:vertAlign w:val="baseline"/>
        </w:rPr>
        <w:t>OMB Circular A-4</w:t>
      </w:r>
      <w:r>
        <w:rPr>
          <w:rFonts w:ascii="arial" w:eastAsia="arial" w:hAnsi="arial" w:cs="arial"/>
          <w:b w:val="0"/>
          <w:i w:val="0"/>
          <w:strike w:val="0"/>
          <w:noProof w:val="0"/>
          <w:color w:val="000000"/>
          <w:position w:val="0"/>
          <w:sz w:val="20"/>
          <w:u w:val="none"/>
          <w:vertAlign w:val="baseline"/>
        </w:rPr>
        <w:t xml:space="preserve"> (Sept. 17, 2003) (Available at: </w:t>
      </w:r>
      <w:hyperlink r:id="rId53"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impacts of new or amended standards, DOE evaluates impacts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that may be disproportionately affected by a national energy conservation standard. DOE received comments from manufacturers regarding identification of subgroups. Lochinvar and AHRI suggested that DOE talk to mechanical contractors, design engineers, and the Association of Facilities Engineers to determine appropriate consumer subgroups. (Lochinvar, No. 34 at p. 7; AHRI, No. 37 at p. 7) For the NOPR analysis, DOE identified low-income households for residential and small businesses for commercial sectors as subgroups and evaluated impacts using the LCC spreadsheet model. The consumer subgroup analysis is discussed in detail in chapter 11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determine the financial impact of amended energy conservation standards on manufacturers of commercial packaged boilers and to estimate the potential impact of such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industry cost structure data, shipment data, product costs, and assumptions about markups and conversion costs. The key output is the industry net present value (INPV). DOE used the GRIM to calculate cash flows using standard accounting principles and to compare changes in INPV between a no-new-standards case and various TSLs (the standards case). The difference in INPV between the no-new-standards case and standards cases represents the financial impact of amended energy conservation standards on CPB manufacturers. DOE used different sets of assumptions (markup scenarios) to represent the uncertainty surrounding potential impacts on prices and manufacturer profitability as a result of amended standards. These different assumptions produce a range of INPV results. The qualitative part of the MIA addresses the proposed standard's potential impacts on manufacturing capacity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any differential impacts the proposed standard may have on any particular subgroup of manufacturers. The qualitative aspect of the analysis also addresses product characteristics, as well as any significant market or product trends. The complete MIA is outlined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an industry characterization based on the market and technology assessment, preliminary manufacturer interviews, and publicly available information. As part of its profile of the residential boilers industry, DOE also conducted a top-down cost analysis of manufacturers in order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used public sources of information, including company SEC 10-K filings, n66 corporate annual reports, the U.S. Census Bureau's Economic Census, n67 and Hoover's reports n68 to conduct this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U.S. Securities and Exchange Commission, Annual 10-K Reports (Various Years) (Available at: </w:t>
      </w:r>
      <w:hyperlink r:id="rId54"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 Census Bureau, Annual Survey of Manufacturers: General Statistics: Statistics for Industry Groups and Industries (2013) (Available at: </w:t>
      </w:r>
      <w:hyperlink r:id="rId55"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Hoovers Inc. Company Profiles, Various Companies (Available at: </w:t>
      </w:r>
      <w:hyperlink r:id="rId56"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amended energy conservation standards. In general, energy conservation standards can affect manufacturer cash flow in three distinct ways. These include: (1) Creating a need for increased investment; (2) raising production costs per unit; and (3) altering revenue due to higher per-unit prices and possible changes in sales volumes. DOE estimated industry cash flows in the GRIM at various potential standard levels using industry financial parameters derived in Phase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conducted structured, detailed interviews with a variety of manufacturers that represent approximately 40 percent of domestic CPB product offerings covered by this rulemaking. During these interviews, DOE discussed engineering, manufacturing, procurement, and financial topics to validate assumptions used in the GRIM. DOE also solicited information about manufacturers' views of the industry as a whole and their key concerns regarding this rulemaking. See section IV.J.3 for a description of the key issues manufacturers raised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Phase 3, DOE also evaluated subgroups of manufacturers that may be disproportionately impacted by amended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by amended energy conservation standards. DOE identified one subgroup (small manufacturers) for a separate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small business size standards published by the Small Business Administration (SBA) to determine whether a company is considered a small business. </w:t>
      </w:r>
      <w:hyperlink r:id="rId57"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under North American Industry Classification System (NAICS) code 333414, "Heating Equipment (except Warm Air Furnaces) Manufacturing," a residential boiler manufacturer and its affiliates may employ a maximum of 500 employees. The 500-employee threshold includes all employees in a business's parent company and any other subsidiaries. Based on this classification, DOE identified 34 CPB companies that qualify as small businesses. The CPB small manufacturer subgroup is discussed in section 0 of this document and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the GRIM to analyze the financial impacts of amended energy conservation standards on the CPB industry. Standards will potentially require additional investments, raise production costs, and affect revenue through higher prices and, possibly, lower sales. The GRIM is designed to take into account several factors as it calculates a series of annual cash flows for the year standards take effect and for several years after implementation. These factors include annual expected revenues, costs of sales, increases in labor and assembly expenditures, selling and general administration costs, and taxes, as well as capital expenditures, depreciation and maintenance related to new standards. Inputs to the GRIM include manufacturing costs, shipments forecasts, and price forecasts developed in other analyses. DOE also uses </w:t>
      </w:r>
      <w:r>
        <w:rPr>
          <w:rFonts w:ascii="arial" w:eastAsia="arial" w:hAnsi="arial" w:cs="arial"/>
          <w:b/>
          <w:i w:val="0"/>
          <w:strike w:val="0"/>
          <w:noProof w:val="0"/>
          <w:color w:val="000000"/>
          <w:position w:val="0"/>
          <w:sz w:val="20"/>
          <w:u w:val="none"/>
          <w:vertAlign w:val="baseline"/>
        </w:rPr>
        <w:t> [*15881] </w:t>
      </w:r>
      <w:r>
        <w:rPr>
          <w:rFonts w:ascii="arial" w:eastAsia="arial" w:hAnsi="arial" w:cs="arial"/>
          <w:b w:val="0"/>
          <w:i w:val="0"/>
          <w:strike w:val="0"/>
          <w:noProof w:val="0"/>
          <w:color w:val="000000"/>
          <w:position w:val="0"/>
          <w:sz w:val="20"/>
          <w:u w:val="none"/>
          <w:vertAlign w:val="baseline"/>
        </w:rPr>
        <w:t xml:space="preserve"> industry financial parameters as inputs for the GRIM analysis, which it develops by collecting and analyzing publically available industry financial information. The GRIM spreadsheet uses the inputs to arrive at a series of annual cash flows, beginning in 2014 (the base year of the analysis) and continuing to 2048 (the end of the analysis period). DOE calculated INPVs by summing the stream of annual discounted cash flows during this period. For CPB manufacturers, DOE used a real discount rate of 9.5 percent, which was derived from industry financials and then modified according to feedback received during manufacturer interviews. DOE also used the GRIM to model changes in costs, shipments, investments, and manufacturer margins that could result from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calculating industry cash flows and INPV, DOE compared changes in INPV between the no new standards case and each standard level. The difference in INPV between the no new standards case and a standards case represents the financial impact of the amended energy conservation standard on manufacturers at a particular TSL. As discussed previously, DOE collected this information on GRIM inputs from a number of sources, including publically-available data and confidential interviews with a number of manufacturers. GRIM inputs are discussed in more detail in the next section. The GRIM results are discussed in section V.B.2. Additional details about the GRIM, discount rate, and other financial parameters can be found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higher-efficiency product is typically more expensive than manufacturing a baseline product due to the use of more complex components, which are typically more costly than baseline components. The changes in the manufacturer production cost (MPC) of the analyzed products can affect the revenues, gross margins, and cash flow of the industry, making these product cost data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that were calculated using product pricing found in the engineering analysis, as described in section IV.C and further detailed in chapter 5 of the NOPR TSD. In addition, DOE used information from its teardown analysis (described in chapter 5 of the TSD) to disaggregate the MPCs into material, labor, and overhead costs. To determine the industry manufacturer selling price-efficiency relationship, DOE used data from the market and technology assessment, publicly available equipment literature and research reports, and information from manufacturers, distributors, and contractors. Using these resources, DOE calculated manufacturer selling prices of commercial packaged boilers for a given fuel input rate (representative fuel input rate) for each manufacturer at different efficiency levels spanning from the minimum allowable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baseline level) to the maximum technologically feasible efficiency level. DOE then used product markups along with the product pricing to determine MPCs for each efficiency level. These cost breakdowns and product markups were validated and revised with input from manufacturers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efficiency level. Changes in sales volumes and efficiency mix over time can significantly affect manufacturer finances. For this analysis, the GRIM uses the NIA's annual shipment forecasts derived from the shipments analysis from 2015 (the base year) to 2048 (the end year of the analysis period). The shipments model divides the shipments of commercial packaged boilers into specific market segments. The model starts from a historical base year and calculates retirements and shipments by market segment for each year of the analysis period. This approach produces an estimate of the total product stock, broken down by age or vintage, in each year of the analysis period. In addition, the product stock efficiency distribution is calculated for the no-new-standards case and for each standards case for each product class. The NIA shipments forecasts are, in part, based on a roll-up scenario. The forecast assumes that a product in the no-new-standards case that does not meet the standard under consideration would "roll up" to meet the amended standard beginning in the compliance year of 2019. See section IV.G of this document and chapter 9 of the NOPR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energy conservation standards would cause manufacturers to incur one-time conversion costs to bring their production facilities and product designs into compliance. DOE evaluated the level of conversion-related expenditures that would be needed to comply with each considered efficiency level in each product class. For the MIA, DOE classified these conversion costs into two major groups: (1) Capital conversion costs; and (2) product conversion costs. Capital conversion costs are one-time investments in property, plant, and equipment necessary to adapt or change existing production facilities such that new compliant product designs can be fabricated and assembled. Product conversion costs are one-time investments in research, development, testing, marketing, and other non-capitalized costs necessary to make product designs comply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DOE used manufacturer interviews to gather data on the anticipated level of capital investment that would be required at each efficiency level. Based on equipment listings provided by AHRI and ABMA, DOE developed a market-share-weighted manufacturer average capital expenditure which it then scaled up and applied to the entire industry. DOE supplemented manufacturer comments and tailored its analyses with information obtained during engineering analysis described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efficiency level by integrating data from quantitative and qualitative sources. DOE considered market-share-weighted feedback regarding the potential costs of each efficiency level from multiple manufacturers to estimate product conversion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R&amp;D expenditures, certification costs). DOE combined this information with product listings to estimate how much manufacturers would have to spend on product development and product testing at each efficiency level. Manufacturer data was aggregated to better reflect the industry as a whole and to protect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DOE assumes that all conversion-related investments occur between the year of publication of the final rule and the year by which manufacturers must comply with the amended standards. The conversion cost figures used in the GRIM can be found in section V.B.2 of this notice. For additional information on the estimated product and capital conversion costs, see chapter 12 of the NOPR TSD. </w:t>
      </w:r>
      <w:r>
        <w:rPr>
          <w:rFonts w:ascii="arial" w:eastAsia="arial" w:hAnsi="arial" w:cs="arial"/>
          <w:b/>
          <w:i w:val="0"/>
          <w:strike w:val="0"/>
          <w:noProof w:val="0"/>
          <w:color w:val="000000"/>
          <w:position w:val="0"/>
          <w:sz w:val="20"/>
          <w:u w:val="none"/>
          <w:vertAlign w:val="baseline"/>
        </w:rPr>
        <w:t> [*15882]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limited information on the conversion costs for oil-fired products in interviews. Using product listing counts, DOE scaled the feedback on gas-fired equipment to estimate the conversion cost for oil-fired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additional information from manufacturers regarding conversion costs for oil-fired products. Specifically, DOE is interested in estimates of capital conversion costs at each TSL and the change in manufacturing equipment associated with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product class and efficiency level.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markup values that, when applied to the inputted MPCs, result in varying revenue and cash-flow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markup scenario, DOE applied a single uniform "gross margin percentage" markup across all efficiency levels, which assumes that following amended standards, manufacturers would be able to maintain the same amount of profit as a percentage of revenue at all efficiency levels within a product class. As production costs increase with efficiency, this scenario implies that the absolute dollar markup will increase as well. Based on publicly-available financial information for manufacturers of commercial packaged boilers, as well as comments from manufacturer interviews, DOE assumed the average non-production cost markup--which includes SG&amp;A expenses, R&amp;D expenses, interest, and profit--to be 1.41 for small gas-fired hot water, small gas-fired steam boilers, large gas-fired hot water boilers, and large oil-fired hot water boilers; 1.40 for small oil-fired hot water boilers; 1.38 for small oil-fired steam boilers; and 1.37 for large gas-fired and oil-fired steam boilers. This markup scenario represents the upper bound of the CPB industry's profitability in the standards case because manufacturers are able to fully pass through additional costs due to standards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decided to include the preservation of per-unit operating profit scenario in its analysis because manufacturers stated that they do not expect to be able to mark up the full cost of production in the standards case, given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CPB market. In this scenario, manufacturer markups are set so that operating profit one year after the compliance date of amended energy conservation standards is the same as in the no-new-standards case on a per-unit basis. In other words, manufacturers are not able to garner additional operating profit from the higher production costs and the investments that are required to comply with the amended standards; however, they are able to maintain the same operating profit in the standards case that was earned in the no-new-standards case. Therefore, operating margin in percentage terms is reduced between the no-new-standards case and standards case. DOE adjusted the manufacturer markups in the GRIM at each TSL to yield approximately the same earnings before interest and taxes in the standards case as in the no-new-standards case. The preservation of per-unit operating profit markup scenario represents the lower bound of industry profitability in the standards case. This is because manufacturers are not able to fully pass through to consumers the additional costs necessitated by CPB standards, as they are able to do in the preservation of gross margin percentage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interviewed manufacturers representing approximately 95 percent of the CPB market by revenue. DOE contractors endeavor to conduct interviews with a representative cross section of manufacturers (including large and small manufacturers, covering all equipment classes and product offerings). DOE contractors reached out to all the small business manufacturers that were identified as part of the analysis, as well as larger manufacturers that have significant market share in the CPB market. These interviews were in addition to those DOE conducted as part of the engineering analysis. The information gathered during these interviews enabled DOE to tailor the GRIM to reflect the unique financial characteristics of the CPB industry. The information gathered during these interviews enabled DOE to tailor the GRIM to reflect the unique financial characteristics of the CPB industry. All interviews provided information that DOE used to evaluate the impacts of potential amended energy conservation standards on manufacturer cash flows, manufacturing capacities, and employment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DOE asked manufacturers to describe their major concerns with potential standards arising from a rulemaking involving commercial packaged boilers. Manufacturer interviews are conducted under non-disclosure agreements (NDAs), so DOE does not document these discussions in the same way that it does public comments in the comment summaries and DOE's responses throughout the rest of this notice. The following sections highlight the most significant manufacturers' statements that helped shape DOE's understanding of potential impacts of an amended standard on the industry. Manufacturers raised a range of general issues for DOE to consider, including a diminished ability to serve the replacement market, concerns that condensing boilers may not perform as rated without heating system modifications, and concerns about reduced product durability. Below, DOE summarizes these issues, which were raised in manufacturer interviews, in order to obtain public comment and related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Testing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expressed concern regarding the testing burden associated with amended energy conservation standards. Manufacturers noted that amended standards and an altered test procedure will result in them having to retest all of their equipment, which they pointed out is a costly and logistically challenging process due to the large size of the equipment and the fact that a lot of commercial packaged boilers are customized for particular customers. Manufacturers stated that retesting all of their models would put a strain on their lab resources and would be financially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Condensing Boilers Not Appropriate for Many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manufacturers expressed concern that they would only be able to </w:t>
      </w:r>
      <w:r>
        <w:rPr>
          <w:rFonts w:ascii="arial" w:eastAsia="arial" w:hAnsi="arial" w:cs="arial"/>
          <w:b/>
          <w:i w:val="0"/>
          <w:strike w:val="0"/>
          <w:noProof w:val="0"/>
          <w:color w:val="000000"/>
          <w:position w:val="0"/>
          <w:sz w:val="20"/>
          <w:u w:val="none"/>
          <w:vertAlign w:val="baseline"/>
        </w:rPr>
        <w:t> [*15883] </w:t>
      </w:r>
      <w:r>
        <w:rPr>
          <w:rFonts w:ascii="arial" w:eastAsia="arial" w:hAnsi="arial" w:cs="arial"/>
          <w:b w:val="0"/>
          <w:i w:val="0"/>
          <w:strike w:val="0"/>
          <w:noProof w:val="0"/>
          <w:color w:val="000000"/>
          <w:position w:val="0"/>
          <w:sz w:val="20"/>
          <w:u w:val="none"/>
          <w:vertAlign w:val="baseline"/>
        </w:rPr>
        <w:t xml:space="preserve"> meet certain efficiency levels with condensing technology in gas-fired hot water equipment. They argued that this technology would not be effective in many commercial applications. Several manufacturers pointed out that that condensing boilers will not operate in condensing mode in larger applications and they will not realize any efficiency gains when buildings and heat distribution systems are not designed around condensing technology. Manufacturers noted that it is very difficult to sell condensing boilers in the replacement market (which, according to manufacturers, comprises about 90% of boiler sales) because customers would have to make expensive retrofit changes to venting and distribution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also pointed out that condensing boilers may not save energy in commercial applications, even if they were to operate in condensing mode. Several manufacturers argued that condensing equipment requires higher pump force power and higher horsepower blower motors, and thus they consume more electricity. They noted that even if the boiler were operating in condensing mode, the fuel savings could be partially offset by higher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Not Many American Companies Produce Condensing Heat Exchangers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expressed concern that if DOE were to mandate efficiency levels that could only be achieved with condensing technology for gas-fired hot water equipment, companies would likely face high conversion costs. While many companies in the U.S. currently produce condensing equipment, most condensing heat exchangers are sourced from European or Asian companies. American companies would have to decide whether to develop their own condensing heat exchanger production capacity or assemble a baseline product around a condensing heat exchanger. Developing condensing heat exchanger production capacity would require large capital investments in new production lines and new equipment to handle the different metals that are required. Companies that are currently heavily invested in lower-efficiency products may not be able to make these investments. The other option would be for companies to drop their noncondensing equipment and assemble equipment around a sourced heat exchanger. In this scenario, companies would lose a significant piece of the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Reduced Product Durability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commented that higher-efficiency condensing boilers on the market have not demonstrated the same level of durability and reliability as lower-efficiency products. Manufacturers stated that condensing products require more upkeep and maintenance and generally do not last as long as non-condensing products. Several manufacturers pointed out that they generally incur large after-sale costs with their condensing products because of additional warranty claims. Maintenance calls for these boilers require more skilled technicians and occur more frequently than they do with non-condensing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preliminary analysis public meeting, interested parties commented on the assumptions and results of the preliminary analysis. Oral and written comments addressed several topics, including concerns regarding the impact condensing technology has on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Impacts on Condensing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written comments, Lochinvar expressed concern that setting a stringent standard, specifically at condensing levels, will cause significant impacts to the CPB industry. If a condensing level is adopted by DOE, it is possible that natural draft boilers and steam boilers will become obsolete in the CPB industry. To limit significantly negative industry impacts on manufacturers and product offerings, Lochinvar recommends that DOE does not set a standard that requires condensing technology. (Lochinvar, No. 31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Lochinvar states that a majority of heat exchangers for condensing technology are imported. Lochinvar believes overhead and equipment used to produce non-condensing heat exchangers may become obsolete if condensing technology is effectively mandated. (Lochinvar, Public Meeting Transcript, No. 39 at p.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acknowledges that a stringent standard, specifically condensing technology, may negatively impact INPV and limit industry product offerings, the proposed standards in this document do not mandate condensing technology. Moreover, EPCA requires DOE to set forth energy conservation standards that are technologically feasible and economically justified and would result in significant additional energy conservation, supported by clear and convincing evidence. </w:t>
      </w:r>
      <w:hyperlink r:id="rId13"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(C)(i). In determining whether a standard is economically justified, DOE considers, to the greatest extent practicable, the following factors: (1) The economic impact of the standard on the manufacturers and on the consumers of the products subject to such standard; (2) the savings in operating costs throughout the estimated average life of the covered products in the type (or class) compared to any increase in the price, or in the initial charges for, or maintenance expenses of the covered products which are likely to result from the imposition of the standard; (3) the total projected amount of energy (or as applicable, water) savings likely to result directly from the imposition of the standard; (4) any lessening of the utility or performance of the covered products likely to result directly from the imposition of the standard; (5) the impact of any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the writing by the Attorney General, that is likely to result from the imposition of the standard; (6) the need for national energy and water conservation; and (7) other factors the Secretary considers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DOE assesses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manufacturing capacity, employment, cumulative regulatory burden and impacts on INPV in the Manufacturer Impact Analysis, which is discussed in greater detail in chapter 12 of the CPB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as described in section IV.M of this document. 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as described in section IV.M of this document. The </w:t>
      </w:r>
      <w:r>
        <w:rPr>
          <w:rFonts w:ascii="arial" w:eastAsia="arial" w:hAnsi="arial" w:cs="arial"/>
          <w:b/>
          <w:i w:val="0"/>
          <w:strike w:val="0"/>
          <w:noProof w:val="0"/>
          <w:color w:val="000000"/>
          <w:position w:val="0"/>
          <w:sz w:val="20"/>
          <w:u w:val="none"/>
          <w:vertAlign w:val="baseline"/>
        </w:rPr>
        <w:t> [*15884] </w:t>
      </w:r>
      <w:r>
        <w:rPr>
          <w:rFonts w:ascii="arial" w:eastAsia="arial" w:hAnsi="arial" w:cs="arial"/>
          <w:b w:val="0"/>
          <w:i w:val="0"/>
          <w:strike w:val="0"/>
          <w:noProof w:val="0"/>
          <w:color w:val="000000"/>
          <w:position w:val="0"/>
          <w:sz w:val="20"/>
          <w:u w:val="none"/>
          <w:vertAlign w:val="baseline"/>
        </w:rPr>
        <w:t xml:space="preserve"> methodology is described in chapter 13 and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n69 The FFC upstream emissions are estimated based on the methodology described in appendix 10D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Available at: </w:t>
      </w:r>
      <w:hyperlink r:id="rId58"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(CO[2eq]). Gases are converted to CO[2eq] by multiplying each ton of gas by the gas' global warming potential (GWP) over a 100-year time horizon. Based on the Fifth Assessment Report of the Intergovernmental Panel on Climate Change, n70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Intergovernmental Panel on Climate Change. Anthropogenic and Natural Radiative Forcing. Chapter 8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Stocker, T.F., D. Qin, G.-K. Plattner, M. Tignor, S.K. Allen, J. Boschung, A. Nauels, Y. Xia, V. Bex, and P.M. Midgley, Editors. 2013.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on-site operation of commercial packaged boilers requires use of fossil fuels and results in emissions of CO[2], NO[X], and SO[2] at the sites where these appliances are used, DOE also accounted for the reduction in these site emissions and the associated upstream emissions due to potential standards. Site emissions were estimated using emissions intensity factors from an EPA publication.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U.S. Environmental Protection Agency, Compilation of Air Pollutant Emission Factors, AP-42, Fifth Edition, Volume I: Stationary Point and Area Sources (1998). Available at: </w:t>
      </w:r>
      <w:hyperlink r:id="rId59"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60"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61"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DC Circuit, but it remained in effect. n72 In 2011, EPA issued a replacement for CAIR, the Cross-State Air Pollution Rule (CSAPR). </w:t>
      </w:r>
      <w:hyperlink r:id="rId62"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n73 and the court ordered EPA to continue administering CAIR. On April 29, 2014, the U.S. Supreme Court reversed the judgment of the DC Circuit and remanded the case for further proceedings consistent with the Supreme Court's opinion. n74 On October 23, 2014, the DC Circuit lifted the stay of CSAPR. n75 Pursuant to this action, CSAPR went into effect (and CAIR ceased to be in effect) as of January 1, 2015. On July 28, 2015, the DC Circuit issued its opinion regarding CSAPR on remand from the Supreme Court. The court largely upheld CSAPR, but remanded to EPA without vacateur certain states' emissions budgets for reconsideration.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 xml:space="preserve">See </w:t>
      </w:r>
      <w:hyperlink r:id="rId63"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 xml:space="preserve">See </w:t>
      </w:r>
      <w:hyperlink r:id="rId65"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See </w:t>
      </w:r>
      <w:hyperlink r:id="rId66"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 C. Cir. filed October 23, 2014) (No. 11-1302).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See </w:t>
      </w:r>
      <w:hyperlink r:id="rId67" w:history="1">
        <w:r>
          <w:rPr>
            <w:rFonts w:ascii="arial" w:eastAsia="arial" w:hAnsi="arial" w:cs="arial"/>
            <w:b w:val="0"/>
            <w:i/>
            <w:strike w:val="0"/>
            <w:noProof w:val="0"/>
            <w:color w:val="0077CC"/>
            <w:position w:val="0"/>
            <w:sz w:val="20"/>
            <w:u w:val="single"/>
            <w:vertAlign w:val="baseline"/>
          </w:rPr>
          <w:t>EME Homer City Generation, LP v. EPA 795 F.3d 118 (D.C.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so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n77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DOE notes that the Supreme Court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(see chapter 13 of the NOPR TSD for further discussion).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 </w:t>
      </w:r>
      <w:r>
        <w:rPr>
          <w:rFonts w:ascii="arial" w:eastAsia="arial" w:hAnsi="arial" w:cs="arial"/>
          <w:b/>
          <w:i w:val="0"/>
          <w:strike w:val="0"/>
          <w:noProof w:val="0"/>
          <w:color w:val="000000"/>
          <w:position w:val="0"/>
          <w:sz w:val="20"/>
          <w:u w:val="none"/>
          <w:vertAlign w:val="baseline"/>
        </w:rPr>
        <w:t> [*15885]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n78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document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6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recent report from the National Research Council n79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the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CO[2]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Approaches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SCC--the FUND, DICE, and PAGE models. These models are frequently cited in the peer-reviewed literature and </w:t>
      </w:r>
      <w:r>
        <w:rPr>
          <w:rFonts w:ascii="arial" w:eastAsia="arial" w:hAnsi="arial" w:cs="arial"/>
          <w:b/>
          <w:i w:val="0"/>
          <w:strike w:val="0"/>
          <w:noProof w:val="0"/>
          <w:color w:val="000000"/>
          <w:position w:val="0"/>
          <w:sz w:val="20"/>
          <w:u w:val="none"/>
          <w:vertAlign w:val="baseline"/>
        </w:rPr>
        <w:t> [*15886] </w:t>
      </w:r>
      <w:r>
        <w:rPr>
          <w:rFonts w:ascii="arial" w:eastAsia="arial" w:hAnsi="arial" w:cs="arial"/>
          <w:b w:val="0"/>
          <w:i w:val="0"/>
          <w:strike w:val="0"/>
          <w:noProof w:val="0"/>
          <w:color w:val="000000"/>
          <w:position w:val="0"/>
          <w:sz w:val="20"/>
          <w:u w:val="none"/>
          <w:vertAlign w:val="baseline"/>
        </w:rPr>
        <w:t xml:space="preserve">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 than expected impacts from climate change further out in the tails of the SCC distribution. The values grow in real terms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interagency group determined that a range of values from 7 percent to 23 percent should be used to adjust the global SCC to calculate domestic effects, n80 although preference is given to consideration of the global benefits of reducing CO[2] emissions. Table IV.13 presents the values in the 2010 interagency group report, n81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It is recognized that this caculation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Interagency Working Group on Social Cost of Carbon, United States Government,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(February 2010) (Available at: </w:t>
      </w:r>
      <w:hyperlink r:id="rId70"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NOPR analysis were generated using the most recent versions of the three integrated assessment models that have been published in the peer-reviewed literature, as described in the 2013 update from the interagency working group (revised July 2015).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5"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IV.14 shows the updated sets of SCC estimates from the latest interagency update in five-year increments from 2010 to 2050. Appendix 14B of the NOPR TSD provides the full set of values and a discussion of the revisions made in 2015. The central value that emerges is the average SCC across models at a 3-percent discount rate. However, for purposes of capturing the uncertainties involved in regulatory impact analysis, the interagency group emphasizes the importance of including all four sets of SCC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Although uncertainties remain, the revised estimates used for this NOPR are based on the best available scientific information on the impacts of climate change. The current estimates of the SCC have been developed over many years, and with input from the public. In November 2013, OMB announced a new opportunity for public comments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In July 2015, OMB published a detailed summary and formal response to the many comments that were received. n83 It also stated its intention to seek independent expert advice on opportunities to improve the estimates, including many of the approaches suggested by commenters.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Available at: </w:t>
      </w:r>
      <w:hyperlink r:id="rId71"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resulting from this proposed rule, DOE used the values from the 2013 interagency report, adjusted to 2014$ using the implicit price deflator for gross domestic product (GDP) from the Bureau of Economic Analysis. For each of the four SCC cases specified, the values used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The report includes high and low values for NO[X] (as PM[2.5]) for 2020, 2025, and 2030 discounted at 3 percent and 7 percent (see chapter 14 of the NOPR TSD). n84 DOE assigned values for 2021-2024 and 2026-2029 using, respectively, the values for 2020 and 2025. DOE assigned values after 2030 using the 2030 value. DOE multiplied the emissions reduction in each year by the associated $ /ton values, and then discounted each series using discount rates of 3 percent and 7 percent as appropriate. DOE will continue to evaluate the monetization of avoided NO[X] emissions and will make appropriate updates of the current analysis for the final rulemaking. DOE is evaluating appropriate monetization of avoided SO[2] and Hg emissions in energy conservation standards rulemakings. DOE has not included monetization of those emissions in the current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U.S. Environmental Protection Agency, </w:t>
      </w:r>
      <w:r>
        <w:rPr>
          <w:rFonts w:ascii="arial" w:eastAsia="arial" w:hAnsi="arial" w:cs="arial"/>
          <w:b w:val="0"/>
          <w:i/>
          <w:strike w:val="0"/>
          <w:noProof w:val="0"/>
          <w:color w:val="000000"/>
          <w:position w:val="0"/>
          <w:sz w:val="20"/>
          <w:u w:val="none"/>
          <w:vertAlign w:val="baseline"/>
        </w:rPr>
        <w:t>Sector-based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Benefit Per Ton Estimates</w:t>
      </w:r>
      <w:r>
        <w:rPr>
          <w:rFonts w:ascii="arial" w:eastAsia="arial" w:hAnsi="arial" w:cs="arial"/>
          <w:b w:val="0"/>
          <w:i w:val="0"/>
          <w:strike w:val="0"/>
          <w:noProof w:val="0"/>
          <w:color w:val="000000"/>
          <w:position w:val="0"/>
          <w:sz w:val="20"/>
          <w:u w:val="none"/>
          <w:vertAlign w:val="baseline"/>
        </w:rPr>
        <w:t xml:space="preserve"> (Available at: </w:t>
      </w:r>
      <w:hyperlink r:id="rId72" w:history="1">
        <w:r>
          <w:rPr>
            <w:rFonts w:ascii="arial" w:eastAsia="arial" w:hAnsi="arial" w:cs="arial"/>
            <w:b w:val="0"/>
            <w:i/>
            <w:strike w:val="0"/>
            <w:noProof w:val="0"/>
            <w:color w:val="0077CC"/>
            <w:position w:val="0"/>
            <w:sz w:val="20"/>
            <w:u w:val="single"/>
            <w:vertAlign w:val="baseline"/>
          </w:rPr>
          <w:t>http://www2.epa.gov/benmap/sector-based-pm25-benefit-ton-estimates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See chapter 15 of the NOPR TSD for further details regarding the utility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Employment impacts from new or amended energy conservation standards include direct and indirect impacts. Direct employment impacts are any changes in the number of employees of manufacturers of the equipment subject </w:t>
      </w:r>
      <w:r>
        <w:rPr>
          <w:rFonts w:ascii="arial" w:eastAsia="arial" w:hAnsi="arial" w:cs="arial"/>
          <w:b/>
          <w:i w:val="0"/>
          <w:strike w:val="0"/>
          <w:noProof w:val="0"/>
          <w:color w:val="000000"/>
          <w:position w:val="0"/>
          <w:sz w:val="20"/>
          <w:u w:val="none"/>
          <w:vertAlign w:val="baseline"/>
        </w:rPr>
        <w:t> [*15888] </w:t>
      </w:r>
      <w:r>
        <w:rPr>
          <w:rFonts w:ascii="arial" w:eastAsia="arial" w:hAnsi="arial" w:cs="arial"/>
          <w:b w:val="0"/>
          <w:i w:val="0"/>
          <w:strike w:val="0"/>
          <w:noProof w:val="0"/>
          <w:color w:val="000000"/>
          <w:position w:val="0"/>
          <w:sz w:val="20"/>
          <w:u w:val="none"/>
          <w:vertAlign w:val="baseline"/>
        </w:rPr>
        <w:t xml:space="preserve"> to standards; the MIA addresses those impacts. Indirect employment impacts are changes in national employment that occur due to the shift in expenditures and capital investment caused by the purchase and operation of more efficient equipment.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equipment,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There are many reasons for these differences, including wage differences and the fact that the utility sector is more capital intensive and less labor 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 intensive sector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utility sector) to more labor 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 levels considered in this document, DOE estimated indirect national employment impacts using an input/output model of the U.S. economy called Impact of Sector Energy Technologies, Version 3.1.1 (ImSET).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NOPR analysis, DOE used ImSET only to estimate short-term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address the results from DOE's analyses with respect to potential amended energy conservation standards for the CPB equipment that is the subject of this rulemaking. They address the TSLs examined by DOE, the projected impacts of each of these levels if adopted as energy conservation standards for CPB equipment, and the standard levels that DOE is proposing in this NOPR. Additional details regarding DOE's analyses are contained in the relevant TSD chapters supporting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NOPR stage, DOE develops trial standard levels (TSLs) for consideration. DOE established TSLs for this document by grouping different efficiency levels, which are potential standard levels for each equipment class. DOE analyzed the benefits and burdens of the TSLs developed for this proposed rule. DOE examined five TSLs for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and Table V.2 present the TSLs analyzed and the corresponding efficiency levels for each equipment class. The efficiency levels in each TSL can be characterized as follows: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5 corresponds to the max-tech efficiency level for each equipment class.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4 is composed of the efficiency levels corresponding to the maximum NPV at a 7% discount rate for each equipment class.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3 is composed of a mixture of condensing and non-condensing efficiency levels.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2 and TSL 1 are each composed of a mixture of non-condensing efficiency levels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detailed description of TSLs may be found in appendix 10C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Commercial Packaged Boilers by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[*15889]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Commercial Packaged Boilers by Thermal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and Combustion Efficiency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Commercial Packaged Boilers by Thermal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and Combustion Efficiency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 stands for thermal efficiency, and EC stands for combustion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 of this document, EPCA provides seven factors to be evaluated in determining whether a more stringent standard for commercial packaged boilers is economically justified. (</w:t>
      </w:r>
      <w:hyperlink r:id="rId13"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xml:space="preserve"> and (C)(i)) The following sections generally discuss how DOE is addressing each of those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CPB consumers by looking at the effects standards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net economic impact of proposed standards on CPB consumers, DOE conducted LCC and PBP analyses for each TSL. In general, higher-efficiency equipment would affect consumers in two ways: (1) Annual operating expense would decrease, and (2) purchase price would increase.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cost, repair costs, and maintenance costs). The LCC calculation also uses product lifetime and a discount rate. Chapter 8 of the NOPR TSD and section IV.F of this document discuss the detailed information on the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LCC and PBP analyses provided key outputs for each efficiency level above the baseline for each equipment class, as reported in Table V.3 to Table V.18. Two tables are presented for each equipment class. The first table presents the results of the LCC analysis by efficiency levels and TSLs and shows installed costs, first year's operating cost, lifetime operating cost, and mean LCC, as well as simple PBP. The second table presents the percentage of consumers who experience a net cost, as well as the mean LCC savings for all commercial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and Simple PBP Results by Efficiency Level for Small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Hot Water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$ 25,571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$ 218,155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$ 243,727</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215,863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242,290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240,977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239,627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207,252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238,826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242,924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47,145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191,355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with that efficiency level. The PBP is measured relative to the baseline equipment. </w:t>
      </w:r>
      <w:r>
        <w:rPr>
          <w:rFonts w:ascii="arial" w:eastAsia="arial" w:hAnsi="arial" w:cs="arial"/>
          <w:b/>
          <w:i w:val="0"/>
          <w:strike w:val="0"/>
          <w:noProof w:val="0"/>
          <w:color w:val="000000"/>
          <w:position w:val="0"/>
          <w:sz w:val="20"/>
          <w:u w:val="none"/>
          <w:vertAlign w:val="baseline"/>
        </w:rPr>
        <w:t> [*15890]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64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 net cost</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by Efficiency Level for Large Gas-Fired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Combustion</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 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$ 94,053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$ 49,620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$ 842,932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$ 936,985</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832,857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932,556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823,055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929,074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813,516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926,609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169,571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779,745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949,315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44,197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755,202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933,927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Large Gas-Fired Hot Water Commercial Packaged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Combustion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by Efficiency Level for Small Oil-Fired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$ 17,797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$ 323,016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$ 350,583</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319,481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347,938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316,032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345,447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312,666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343,110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306,170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338,912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303,036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337,701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16,087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292,517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344,455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Small Oil-Fired Hot Water Commercial Packaged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 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200"/>
        <w:gridCol w:w="1320"/>
        <w:gridCol w:w="1320"/>
        <w:gridCol w:w="144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and PBP Results by Efficiency Level for Large Oil-Fired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Combus-</w:t>
            </w:r>
          </w:p>
        </w:tc>
        <w:tc>
          <w:tcPr>
            <w:tcW w:w="55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ef-</w:t>
            </w:r>
          </w:p>
        </w:tc>
        <w:tc>
          <w:tcPr>
            <w:tcW w:w="55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ficiency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$ 66,053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$ 101,507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$ 1,804,595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$ 1,870,649</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1,766,049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1,840,992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97,281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1,729,192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1,815,272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1,711,365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1,804,345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159,031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93,901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1,670,295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1,829,325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64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Combustion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 level</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 a</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$ 10,108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40,983</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and PBP Results by Efficiency Level for Small Gas-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Fired Steam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$ 12,354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$ 212,456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$ 234,996</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233,574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232,274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205,992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231,098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230,051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11,647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228,360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Small Gas-Fired Steam Commercial Packaged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and PBP Results by Efficiency Level for Large Gas-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Fired Steam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4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54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$ 82,527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$ 53,362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$ 926,128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$ 1,008,655</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904,540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991,946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984,215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874,171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970,734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103,011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49,292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855,155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958,165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Large Gas-Fired Steam Commercial Packaged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cycle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and PBP Results by Efficiency Level for Small Oil-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Fired Steam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$ 21,965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$ 20,964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$ 375,253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$ 397,218</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366,987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391,199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363,005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388,532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28,615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19,876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355,328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383,942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Small Oil-Fired Steam Commercial Packaged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cycle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calculation includes consumers with zero LCC savings (no impact). </w:t>
      </w:r>
      <w:r>
        <w:rPr>
          <w:rFonts w:ascii="arial" w:eastAsia="arial" w:hAnsi="arial" w:cs="arial"/>
          <w:b/>
          <w:i w:val="0"/>
          <w:strike w:val="0"/>
          <w:noProof w:val="0"/>
          <w:color w:val="000000"/>
          <w:position w:val="0"/>
          <w:sz w:val="20"/>
          <w:u w:val="none"/>
          <w:vertAlign w:val="baseline"/>
        </w:rPr>
        <w:t> [*15894]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200"/>
        <w:gridCol w:w="1320"/>
        <w:gridCol w:w="1320"/>
        <w:gridCol w:w="144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and PBP Results by Efficiency Level for Large Oil-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Fired Steam Commercial Packaged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55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55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(ET)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$ 67,991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$ 99,776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$ 1,738,018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$ 1,806,009</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1,697,166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1,771,014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1,658,263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1,738,914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88,551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93,105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1,621,176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1,709,727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Savings Relative to the No-New-Standards-Case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Large Oil-Fired Steam Commercial Packaged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36,128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impacts of the considered TSLs on low-income residential and small business consumers. Given the magnitude of the installation and operating expenditures in question for each equipment class, the LCC savings and corresponding payback periods for low-income residential and small business consumers are generally similar to the impacts for all consumers, with the residential low-income subgroup showing somewhat higher than average benefits and the small business consumers showing slightly lower benefits when compared to the overall CPB consumer population. DOE estimated the average LCC savings and PBP for the low-income residential subgroup compared with average CPB consumers, as shown in Table V.19 through Table V.26. DOE also estimated LCC savings and PBP for small businesses, and presented the results in Table V.19 through Table V.26. Chapter 11 of the NOPR TSD presents detailed results of the consumer subgroup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320"/>
        <w:gridCol w:w="1200"/>
        <w:gridCol w:w="1200"/>
        <w:gridCol w:w="1080"/>
        <w:gridCol w:w="1200"/>
        <w:gridCol w:w="12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Gas-Fired Hot Water Commercial Packaged Boilers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4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Parentheses indicate negative values. </w:t>
      </w:r>
      <w:r>
        <w:rPr>
          <w:rFonts w:ascii="arial" w:eastAsia="arial" w:hAnsi="arial" w:cs="arial"/>
          <w:b/>
          <w:i w:val="0"/>
          <w:strike w:val="0"/>
          <w:noProof w:val="0"/>
          <w:color w:val="000000"/>
          <w:position w:val="0"/>
          <w:sz w:val="20"/>
          <w:u w:val="none"/>
          <w:vertAlign w:val="baseline"/>
        </w:rPr>
        <w:t> [*15895]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Gas-Fired Hot Water Commercial Packaged Boilers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Combus-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ef-</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ficiency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Oil-Fired Hot Water Commercial Packaged Boilers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22,248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Oil-Fired Hot Water Commercial Packaged Boilers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Combus-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ef-</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ficiency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$ 8,602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49,517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Gas-Fired Steam Commercial Packaged Boilers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Parentheses indicate negative values. </w:t>
      </w:r>
      <w:r>
        <w:rPr>
          <w:rFonts w:ascii="arial" w:eastAsia="arial" w:hAnsi="arial" w:cs="arial"/>
          <w:b/>
          <w:i w:val="0"/>
          <w:strike w:val="0"/>
          <w:noProof w:val="0"/>
          <w:color w:val="000000"/>
          <w:position w:val="0"/>
          <w:sz w:val="20"/>
          <w:u w:val="none"/>
          <w:vertAlign w:val="baseline"/>
        </w:rPr>
        <w:t> [*15896]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Gas-Fired Steam Commercial Packaged Boilers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28,667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24,796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28,295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Gas-Fired Steam Commercial Packaged Boilers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13,943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Oil-Fired Steam Commercial Packaged Boilers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cial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$ 11,806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III.E.2 of this document, EPCA provides a rebuttable presumption that an energy conservation standard is economically justified if the increased purchase cost for equipment that meets the standard is less than three times the value of the first-year energy savings resulting from the standard. DOE calculated a rebuttable-presumption PBP for each TSL to determine whether DOE could presume that a standard at that level is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a rebuttable presumption payback period for each TSL using average installed cost to the commercial consumers and first year energy savings. As a result, DOE calculated a single rebuttable-presumption payback value, and not a distribution of PBPs, for each TSL. Table V.27 shows the rebuttable-presumption PBPs for the considered TSLs. The rebuttable presumption is fulfilled in those cases where the PBP is three years or less. However, DOE routinely conducts an economic analysis that considers the full range of impacts to the consumer, manufacturer, Nation, and environment, as required by EPCA. The results of that analysis serve as the basis for DOE to definitively evaluate the economic justification for a potential standard level (thereby supporting or rebutting the results of any three-year PBP analysis). Section V.C of this document addresses how DOE considered the range of impacts to select the proposed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V.27--Rebuttable Presumption Payback Periods for Commercial Packaged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 Equipment Classes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 presumption payback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DOE performed an MIA to estimate the impact of amended energy conservation standards on manufacturers of commercial packaged boilers. The following section describes the expected impacts on manufacturers at each considered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and Table V.29 depict the estimated financial impacts (represented by changes in INPV) of amended energy conservation standards on manufacturers of commercial packaged boilers, as well as the conversion costs that DOE expects manufacturers would incur for all product classes at each TSL. To evaluate the range of cash-flow impacts on the CPB industry, DOE modeled two different markup scenarios using different assumptions that correspond to the range of anticipated market responses to amended energy conservation standards: (1) The preservation of gross margin percentage scenario; and (2) the preservation of per-unit operating profit scenario. Each of these scenarios is discussed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bound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bound of the range of potential impacts, DOE modeled the preservation of operating profit markup scenario, which assumes that manufacturers would not be able to generate greater operating profit on a per-unit basis in the standards case as compared to the no-new-standards case. Rather, as manufacturers make the necessary investments required to convert their facilities to produce new standards-compliant products and incur higher costs of goods sold, their percentage markup decreases. Operating profit does not change in absolute dollars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MIA methodology discussion (see IV.J.1), in addition to markup scenarios, the MPC, shipments, and conversion cost assumptions also affect INPV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V.28 and Table V.29 show potential INPV impacts for CPB manufacturers, Table V.28 reflects the upper bound of impacts, and Table V.29 represents the lower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in the analysis results in a unique set of cash flows and corresponding industry values at each TSL. In the following discussion, the INPV results refer to the difference in industry value between the no-new-standards case and each standards case that results from the sum of discounted cash flows from the base year 2014 through 2048, the end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perspective on the short-run cash flow impact, DOE discusses the change in free cash flow between the no-new-standards case and the standards case at each TSL in the year before new standards would take effect. These figures provide an understanding of the magnitude of the required conversion costs at each TSL relative to the cash flow generated by the industry in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V.28--Manufacturer Impact Analysis for Commercial Packaged Boilers--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Gross Margin Percentage Markup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ards case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ards 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Parentheses indicate negative values. </w:t>
      </w:r>
      <w:r>
        <w:rPr>
          <w:rFonts w:ascii="arial" w:eastAsia="arial" w:hAnsi="arial" w:cs="arial"/>
          <w:b/>
          <w:i w:val="0"/>
          <w:strike w:val="0"/>
          <w:noProof w:val="0"/>
          <w:color w:val="000000"/>
          <w:position w:val="0"/>
          <w:sz w:val="20"/>
          <w:u w:val="none"/>
          <w:vertAlign w:val="baseline"/>
        </w:rPr>
        <w:t> [*15898]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200"/>
        <w:gridCol w:w="1080"/>
        <w:gridCol w:w="1080"/>
        <w:gridCol w:w="108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V.29--Manufacturer Impact Analysis for Commercial Packaged Boilers--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Operating Profit Markup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2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represents EL 3 (84%) for small gas-fired hot water boilers, EL 2 (84%) for large gas-fired hot water boilers, EL 4 (87%) for small oil-fired hot water boilers, EL 1 (86%) for large oil-fired hot water boilers, EL 3 (80%) for small gas-fired steam boilers, EL 4 (81%) for large gas-fired steam boilers, EL 1 (83%) for small oil-fired steam boilers, and EL 1 (83%) for large oil-fired steam boilers. At TSL 1, DOE estimates impacts on INPV for CPB manufacturers to range from -7.4 percent to -3.6 percent, or a change in INPV of -$ 13.4 million to -$ 6.4 million. At this potential standard level, industry free cash flow would be estimated to decrease by approximately 43.9 percent to $ 7.2 million, compared to the no-new-standards case value of $ 12.8 million in 2018, the year before the compliance date. Overall, DOE expects industry to incur product conversion costs of $ 10.7 million and capital conversion costs of $ 4.8 million to reach this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efficiency level at EL 4 (85%) for small gas-fired hot water boilers, EL 3 (85%) for large gas-fired hot water boilers, EL 4 (87%) for small oil-fired hot water boilers, EL 2 (88%) for large oil-fired hot water, EL 4 (81%) for small gas-fired steam boilers, EL 5 (82%) for large gas-fired steam boilers, EL 2 (84%) for small oil-fired steam boilers, and EL 2 (85%) for large oil-fired steam boilers. At TSL 2, DOE estimates impacts on INPV for commercial packaged boilers manufacturers to range from -13.2 percent to -7.3 percent, or a change in INPV of -$ 23.8 million to -$ 13.1 million. At this potential standard level, industry free cash flow would be estimated to decrease by approximately 78.7 percent to $ 2.7 million, compared to the no-new-standards case value of $ 12.8 million in 2018, the year before the compliance date. Overall, DOE estimates manufactures would incur product conversion costs of $ 18.2 million and capital conversion costs of $ 9.3 million at this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represents EL 6 (95%) for small gas-fired hot water boilers, EL 5 (85%) for large gas-fired hot water boilers, EL 4 (87%) for small oil-fired hot water boilers, EL 2 (88%) for large oil-fired hot water boilers, EL 4 (81%) for small gas-fired steam boilers, EL 5 (82%) for large gas-fired steam boilers, EL 2 (84%) for small oil-fired steam boilers, and EL 2 (85%) for large oil-fired steam boilers. At TSL 3, DOE estimates impacts on INPV for CPB manufacturers to range from -35.5 percent to -12.4 percent, or a change in INPV of -$ 64.0 million to -$ 22.4 million. At this potential standard level, industry free cash flow would be estimated to decrease by approximately 121.7 percent in 2018, the year before compliance to -$ 2.8 million compared to the no-new-standards case value of $ 12.8 million. DOE estimates manufactures would incur product conversion costs of $ 19.3 million and capital conversion costs of 20.8 million to reach this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represents EL 7 (99%) for small gas-fired hot water boilers, EL 5 (97%) for large gas-fired hot water boilers, EL 5 (88%) for small oil-fired hot water boilers, EL 3 (89%) for large oil-fired hot water boilers, EL 5 (83%) for small gas-fired steam boilers, EL 6 (84%) for large gas-fired steam boilers, EL 3 (86%) for small oil-fired steam boilers, and EL 3 (87%) for large oil-fired steam boilers. At TSL 4, DOE estimates impacts on INPV for CPB manufacturers to range from -68.9 percent to -19.0 percent, or a change in INPV of -$ 124.1 million to -$ 34.3 million. At this potential standard level, industry free cash flow would be estimated to decrease by approximately 171.5 percent in the year before compliance (2018) to -$ 9.2 million relative to the no-new-standards case value of $ 12.8 million. DOE estimates that manufacturers would incur product conversion costs of $ 20.8 million and capital conversion costs of $ 33.9 million to reach this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represents EL 7 (99%) for small gas-fired hot water boilers, EL 5 (97%) for large gas-fired hot water boilers, EL 6 (97%) for small oil-fired hot water boilers, EL 4 (97%) for large oil-fired hot water boilers, EL 5 (83%) for small gas-fired steam boilers, EL 6 (84%) for large gas-fired steam boilers, EL 3 (86%) for small oil-fired steam boilers, and EL 3 (87%) for large oil-fired steam boilers. TSL 5 represents max-tech for all product classes. At TSL 5, DOE estimates impacts on INPV for CPB manufacturers to range from -71.6 percent to -18.6 percent, or a change in INPV of -$ 128.9 million to -$ 33.4 million. At this potential standard level, industry free cash flow would be estimated to decrease by approximately 177.4 percent in the year before compliance (2018) to -$ 9.9 million relative to the no-new-standards case value of $ 12.8 million. DOE estimates manufacturers would incur product conversion costs of $ 21.4 million and capital conversion costs of $ 35.2 million to reach this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quantitatively assess the impacts of energy conservation standards on direct employment in the CPB industry, DOE used the GRIM to estimate the domestic labor expenditures and number of employees in the no-new-standards case and at each TSL in 2019. DOE used statistical data from the U.S. Census Bureau's 2013 Annual Survey of Manufacturers (ASM) n85, the results of the engineering analysis, and interviews with manufacturers to determine the inputs necessary to calculate industry- </w:t>
      </w:r>
      <w:r>
        <w:rPr>
          <w:rFonts w:ascii="arial" w:eastAsia="arial" w:hAnsi="arial" w:cs="arial"/>
          <w:b/>
          <w:i w:val="0"/>
          <w:strike w:val="0"/>
          <w:noProof w:val="0"/>
          <w:color w:val="000000"/>
          <w:position w:val="0"/>
          <w:sz w:val="20"/>
          <w:u w:val="none"/>
          <w:vertAlign w:val="baseline"/>
        </w:rPr>
        <w:t> [*15899] </w:t>
      </w:r>
      <w:r>
        <w:rPr>
          <w:rFonts w:ascii="arial" w:eastAsia="arial" w:hAnsi="arial" w:cs="arial"/>
          <w:b w:val="0"/>
          <w:i w:val="0"/>
          <w:strike w:val="0"/>
          <w:noProof w:val="0"/>
          <w:color w:val="000000"/>
          <w:position w:val="0"/>
          <w:sz w:val="20"/>
          <w:u w:val="none"/>
          <w:vertAlign w:val="baseline"/>
        </w:rPr>
        <w:t xml:space="preserve"> 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U.S. Census Bureau, Annual Survey of Manufacturers: General Statistics: Statistics for Industry Groups and Industries (2013) (Available at: </w:t>
      </w:r>
      <w:hyperlink r:id="rId55"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are converted to domestic production employment levels by dividing production labor expenditures by the annual payment per production worker (production worker hours times the labor rate found in the U.S. Census Bureau's 2013 ASM). The estimates of production workers in this section cover workers, including line-supervisors who are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total direct employment impacts calculated in the GRIM are the sum of the changes in the number of production workers resulting from the amended energy conservation standards for commercial packaged boilers, as compared to the no-new-standards case. In general, more-efficient commercial packaged boilers are more complex and more labor intensive and require specialized knowledge about control systems, electronics, and the different metals needed for the heat exchanger. Per-unit labor requirements and production time requirements increase with higher energy conservation standards. As a result, the total labor calculations described in this paragraph (which are generated by the GRIM) are considered an upper bound to direct employment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in the absence of amended energy conservation standards, there would be 464 domestic production workers in the CPB industry in 2019, the year of compliance. DOE estimates that 80 percent of commercial packaged boilers sold in the United States are manufactured domestically. Table V.30 shows the range of the impacts of potential amended energy conservation standards on U.S. production workers of commercial packaged boilers.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V.30--Potential Changes in the Total Number of Commercial Packaged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Production Workers in 2019</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2019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2019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upper end of the range, all examined TSLs show positive impacts on domestic employment levels. Producing more-efficient commercial packaged boilers tends to require more labor, and DOE estimates that if CPB manufacturers chose to keep their current production in the U.S., domestic employment could increase at each TSL. In interviews, some manufacturers who produce high-efficiency boiler products stated that a standard that went to condensing levels could cause them to hire more employees to increase their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a lower bound end of production worker employment, DOE assumes no manufacturer chooses to invest in redesign of products that do not meet the proposed standard. Production worker employment drops in proportion with the percentage of products which are retired. Since this is a lower bound, DOE does not account for additional production labor needed for higher efficiency products. Several manufacturers expressed that they could lose a significant number of employees at TSL 3, TSL 4 and TSL 5, due to the fact that these TSLs contain condensing efficiency levels for the gas-fired hot water boiler product classes and oil-fired hot water boiler product classes. These manufacturers have employees who work on production lines that produce cast iron sections and carbon steel or copper heat exchangers for lower to mid-efficiency products. If amended energy conservation standards were to require condensing efficiency levels, these employees would no longer be needed for that function, and manufacturers would have to decide whether to develop their own condensing heat exchanger production, source heat exchangers from Asia or Europe and assemble higher-efficiency products, or leave the market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employment impacts discussed here are independent of the indirect employment impacts to the broader U.S. economy, which are documented in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CPB manufacturers stated that their current production is only running at 50-percent to 75-percent capacity and that any standard that does not propose efficiency levels where manufacturers would use condensing technology for hot water boilers would not have a large effect on capacity. The impacts of a potential condensing standard on manufacturer capacity are difficult to quantify. Some manufacturers who are already making condensing products with a sourced heat exchanger said they would likely be able to increase production using the equipment they already have by utilizing a second shift. Others said a condensing standard would idle a large portion of their business, causing stranded assets and decreased capacity. These manufacturers would have to determine how to best increase their condensing boiler production capacity. DOE believes that some larger domestic manufacturers may choose to add production capacity for a condensing heat exchanger production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stated that in a scenario where a potential standard would require efficiency levels at which manufacturers would use condensing </w:t>
      </w:r>
      <w:r>
        <w:rPr>
          <w:rFonts w:ascii="arial" w:eastAsia="arial" w:hAnsi="arial" w:cs="arial"/>
          <w:b/>
          <w:i w:val="0"/>
          <w:strike w:val="0"/>
          <w:noProof w:val="0"/>
          <w:color w:val="000000"/>
          <w:position w:val="0"/>
          <w:sz w:val="20"/>
          <w:u w:val="none"/>
          <w:vertAlign w:val="baseline"/>
        </w:rPr>
        <w:t> [*15900] </w:t>
      </w:r>
      <w:r>
        <w:rPr>
          <w:rFonts w:ascii="arial" w:eastAsia="arial" w:hAnsi="arial" w:cs="arial"/>
          <w:b w:val="0"/>
          <w:i w:val="0"/>
          <w:strike w:val="0"/>
          <w:noProof w:val="0"/>
          <w:color w:val="000000"/>
          <w:position w:val="0"/>
          <w:sz w:val="20"/>
          <w:u w:val="none"/>
          <w:vertAlign w:val="baseline"/>
        </w:rPr>
        <w:t xml:space="preserve"> technology, there is concern about the level of technical resources required to redesign and test all products. The engineering analysis shows that increasingly complex components and control strategies are required as standard levels increase. Manufacturers commented in interviews that the industry would need to add electrical engineering and control systems engineering talent beyond current staffing to meet the redesign requirements of higher TSLs. Additional training might be needed for manufacturing engineers, laboratory technicians, and service personnel if condensing products were broadly adopted. However, because TSL 2 (the proposed level) would not require condensing standards, DOE does not expect manufacturers to face long-term capacity constraints due to the standard levels proposed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Using average cost assumptions developed for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CPB industry, DOE identified and evaluated the impact of amended energy conservation standards on one subgroup--small manufacturers. The SBA defines a "small business" as having 500 employees or less for NAICS 333414, "Heating Equipment (except Warm Air Furnaces) Manufacturing." Based on this definition, DOE identified 34 manufacturers in the CPB industry that qualify as small businesses. For a discussion of the impacts on the small manufacturer subgroup, see the regulatory flexibility analysis in section 0 of this document and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equipment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CPB manufacturers that will take effect approximately three years before or after the 2019 compliance date of amended energy conservation standards for these products.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commercial packaged boilers that contribute to their cumulative regulatory burden. The compliance years and expected industry conversion costs of relevant amended energy conservation standards are indicated in Table V.31. Included in the table are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compliance dates beyond the six year range of DOE's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680"/>
        <w:gridCol w:w="1440"/>
        <w:gridCol w:w="144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Commercial Packaged Boilers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 Air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 Warm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 Water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Pumps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226.4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TBD</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 Heating</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LLC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ACV International</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NV (Triangle</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Tube/Phase III</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AESYS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LLC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 Smith</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(Lochinvar)</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Axeman-Anderson</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Bradford White</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(Laars Heating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Burnham Holdings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Camus Hydronics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Dennison Holdings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Ltd (NY Thermal)</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ECR International</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E-Z Rect</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(Allied</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Fulton Heating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Gasmaster</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Hamilton</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Harbour Group</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(Cleaver-Brooks)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Harsco</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Patterson-Kelley</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HTP, Inc</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Hurst Boiler &amp;</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Company</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IBC Technologies,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Lanair Holdings,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 (Clean Burn,</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Mestek</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Co,</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Paloma Co, Ltd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(Raypak, Inc)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Parker Boiler</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Peerless Boilers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 Heat LLC)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Rite Engineering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Manufacturing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 (Rite</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Bosch</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(Bosch</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Thermotechnology</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SIME (SIME North</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Slant/Fin</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SPX</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Stichting</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Aandelen Remeha</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(Baxi S.P.A.)</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 Inc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Valley</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Ventures LP</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(Precision</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Unilux Advanced</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 Corp</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Watts Water</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Inc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(AERCO</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Williams &amp; Davis</w:t>
            </w: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68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Commercial Packaged Boilers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 Central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 Water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 Pool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Pumps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LLC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ACV International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NV (Triangle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Tube/Phase III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AESYS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LLC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 Smith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(Lochinvar)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Axeman-Anderson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Bradford White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(Laars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Burnham Holdings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Camus Hydronics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Dennison Holdings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Ltd (NY Thermal)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ECR International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E-Z Rect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Fulton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Gasmaster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Hamilton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Harbour Group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(Cleaver-Brooks)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Harsco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Patterson-Kelley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HTP, Inc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Hurst Boiler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Company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IBC Technologies,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Lanair Holdings,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 (Clean Burn,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Mestek</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Co,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Paloma Co, Ltd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(Raypak, Inc)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Parker Boiler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Peerless Boilers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 Heat LLC)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Rite Engineering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Manufacturing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 (Rite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Bosch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Thermotechnology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SIME (SIME North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Slant/Fin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SPX</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Stichting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Aandelen Remeha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(Baxi S.P.A.)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 Inc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Valley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Ventures LP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(Precision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Unilux Advanced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 Corp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Watts 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Inc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(AERCO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Williams &amp; Davis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rule for this energy conversation standard has not been published. The compliance date and analysis of conversion costs have not been finalized at this time. (If a value is provided for total industry conversion expense, this value represents an estimate from the NOPR.) </w:t>
      </w:r>
      <w:r>
        <w:rPr>
          <w:rFonts w:ascii="arial" w:eastAsia="arial" w:hAnsi="arial" w:cs="arial"/>
          <w:b/>
          <w:i w:val="0"/>
          <w:strike w:val="0"/>
          <w:noProof w:val="0"/>
          <w:color w:val="000000"/>
          <w:position w:val="0"/>
          <w:sz w:val="20"/>
          <w:u w:val="none"/>
          <w:vertAlign w:val="baseline"/>
        </w:rPr>
        <w:t> [*15901]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Federal energy conservation standards, DOE identified other regulatory burdens that would affect manufacturers of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Certification, Compliance, and Enforcement (CC&amp;E)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amended standard that DOE establishes would also impose accompanying CC&amp;E requirements for manufacturers of commercial packaged boilers. DOE conducted a rulemaking to expand AEDM coverage to commercial HVAC, including commercial packaged boilers, and issued a final rule on December 31, 2013. </w:t>
      </w:r>
      <w:hyperlink r:id="rId73" w:history="1">
        <w:r>
          <w:rPr>
            <w:rFonts w:ascii="arial" w:eastAsia="arial" w:hAnsi="arial" w:cs="arial"/>
            <w:b w:val="0"/>
            <w:i/>
            <w:strike w:val="0"/>
            <w:noProof w:val="0"/>
            <w:color w:val="0077CC"/>
            <w:position w:val="0"/>
            <w:sz w:val="20"/>
            <w:u w:val="single"/>
            <w:vertAlign w:val="baseline"/>
          </w:rPr>
          <w:t>(78 FR 79579)</w:t>
        </w:r>
      </w:hyperlink>
      <w:r>
        <w:rPr>
          <w:rFonts w:ascii="arial" w:eastAsia="arial" w:hAnsi="arial" w:cs="arial"/>
          <w:b w:val="0"/>
          <w:i w:val="0"/>
          <w:strike w:val="0"/>
          <w:noProof w:val="0"/>
          <w:color w:val="000000"/>
          <w:position w:val="0"/>
          <w:sz w:val="20"/>
          <w:u w:val="none"/>
          <w:vertAlign w:val="baseline"/>
        </w:rPr>
        <w:t xml:space="preserve"> An AEDM is a computer modeling or mathematical tool that predicts the performance of non-tested basic models. In the final rule, DOE is allowing manufacturers of commercial packaged boilers to rate basic models using AEDMs, reducing the need for sample units and reducing burden on manufacturers. The final rule establishes revised verification tolerances CPB manufacturers. More information can be found at </w:t>
      </w:r>
      <w:hyperlink r:id="rId74" w:history="1">
        <w:r>
          <w:rPr>
            <w:rFonts w:ascii="arial" w:eastAsia="arial" w:hAnsi="arial" w:cs="arial"/>
            <w:b w:val="0"/>
            <w:i/>
            <w:strike w:val="0"/>
            <w:noProof w:val="0"/>
            <w:color w:val="0077CC"/>
            <w:position w:val="0"/>
            <w:sz w:val="20"/>
            <w:u w:val="single"/>
            <w:vertAlign w:val="baseline"/>
          </w:rPr>
          <w:t>http://www1.eere.energy.gov/buildings/appliance_standards/implement_cert_and_enforce.html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for commercial packaged boilers purchased in the 30-year period that begins in the year of anticipated compliance with amended standards (2019-2048). The savings are measured over the entire lifetime of equipment purchased in the 30-year period. DOE quantified the energy savings attributable to each TSL as the difference in energy consumption between each standards case and the no-new-standards-case. Table V.32 presents the estimated primary energy savings for each considered TSL, and Table V.33 presents the estimated FFC energy savings for each TSL. Table V.34 shows cumulative primary national energy savings by TSL as a percentage of the no-new-standards-case primary energy usage. The approach for estimating national energy savings is further described in section IV.H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National Primary Energy Savings for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Packaged Boilers Purchased in 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V.33--Cumulative National Full-Fuel-Cycle Energy Savings for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Packaged Boilers Purchased in 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Numbers may not add to totals, due to rounding. </w:t>
      </w:r>
      <w:r>
        <w:rPr>
          <w:rFonts w:ascii="arial" w:eastAsia="arial" w:hAnsi="arial" w:cs="arial"/>
          <w:b/>
          <w:i w:val="0"/>
          <w:strike w:val="0"/>
          <w:noProof w:val="0"/>
          <w:color w:val="000000"/>
          <w:position w:val="0"/>
          <w:sz w:val="20"/>
          <w:u w:val="none"/>
          <w:vertAlign w:val="baseline"/>
        </w:rPr>
        <w:t> [*15902]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V.34--Cumulative Primary National Energy Savings by TSL as a Percentage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Cumulative No-New-Standards-Case Energy Usage of Commercial Packaged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Purchased in 2019-2048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savings as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no-new-standards-case usage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Circular A-4 requires agencies to present analytical results, including separate schedules of the monetized benefits and costs that show the type and timing of benefits and costs. n86 Circular A-4 also directs agencies to consider the variability of key elements underlying the estimates of benefits and costs. For this rulemaking, DOE undertook a sensitivity analysis using 9 years rather than 30 years of equipment shipments. The choice of a 9-year period is a proxy for the timeline in EPCA for the review of certain energy conservation standards and potential revision of and compliance with such revised standards. n87 The review timeframe established in EPCA is generally not synchronized with the equipment lifetime, equipment manufacturing cycles, or other factors specific to commercial packaged boilers. Thus, such results are presented for informational purposes only and are not indicative of any change in DOE's analytical methodology. The estimated national primary and full-fuel-cycle energy savings results based on a nine-year analytical period are presented in Table V.35 and Table V.36, respectively. The impacts are counted over the lifetime of equipment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U.S. Office of Management and Budget, "Circular A-4: Regulatory Analysis" (Sept. 17, 2003) (Available at: </w:t>
      </w:r>
      <w:hyperlink r:id="rId7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EPCA requires DOE to review its standards at least once every 6 years, and requires, for certain equipment, a 3-year period after any new standard is promulgated before compliance is required, except that in no case may any new standards be required within 6 years of the compliance date of the previous standards. (</w:t>
      </w:r>
      <w:hyperlink r:id="rId13"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While adding a 6-year review to the 3-year compliance period adds up to 9 years, DOE notes that it may undertake reviews at any time within the 6-year period and that the 3-year compliance date may yield to the 6-year backstop. A 9-year analysis period may not be appropriate given the variability that occurs in the timing of standards reviews and the fact that for some commercial equipment,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V.35--Cumulative National Primary Energy Savings for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Packaged Boiler Equipment Purchased in 2019-2027</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Numbers may not add to totals, due to rounding. </w:t>
      </w:r>
      <w:r>
        <w:rPr>
          <w:rFonts w:ascii="arial" w:eastAsia="arial" w:hAnsi="arial" w:cs="arial"/>
          <w:b/>
          <w:i w:val="0"/>
          <w:strike w:val="0"/>
          <w:noProof w:val="0"/>
          <w:color w:val="000000"/>
          <w:position w:val="0"/>
          <w:sz w:val="20"/>
          <w:u w:val="none"/>
          <w:vertAlign w:val="baseline"/>
        </w:rPr>
        <w:t> [*15903]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V.36--Cumulative Full-Fuel-Cycle National Energy Savings for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Packaged Boiler Equipment Purchased in 2019-2027</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commercial packaged boilers. In accordance with OMB's guidelines on regulatory analysis, n88 DOE calculated the NPV using both a 7-percent and a 3-percent real discount rate. The 7-percent rate is an estimate of the average before tax rate of return on private capital in the U.S. economy, and reflects the returns on real estate and small business capital as well as corporate capital. This discount rate approximates the opportunity cost of capital in the private sector (OMB analysis has found the average rate of return on capital to be near this rate). The 3-percent rate reflects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equipment and reduced purchases of energy). This rate represents the rate at which society discounts future consumption flows to their present value. It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which has averaged about 3 percent for the past 30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OMB Circular A-4, section E (Sept. 17, 2003) (Available at: </w:t>
      </w:r>
      <w:hyperlink r:id="rId53"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V.37 and Table V.38 show the consumer NPV results at 3-percent and 7-percent discount rates respectively for each TSL considered for commercial packaged boilers covered in this rulemaking. In each case, the impacts cover the lifetime of equipment purchased in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V.37--Cumulative Net Present Value of Consumer Benefit for CPB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at a 3-Percent Discount Rate for Equipment Purchased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V.38--Cumulative Net Present Value of Consumer Benefit for CPB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at a 7-Percent Discount Rate for Equipment Purchased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V.39 and Table V.40. The impacts are counted over the lifetime of commercial packaged boilers purchased in 2019-2027. As mentioned previously,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V.39--Cumulative Net Present Value of Consumer Benefit for CPB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at a 3-Percent Discount Rate for Equipment Purchased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V.40--Cumulative Net Present Value of Consumer Benefit for CPB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at a 7-Percent Discount Rate for Equipment Purchased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expects energy conservation standards for commercial packaged boilers to reduce energy costs for equipment owners, and the resulting net savings to be redirected to other forms of economic activity. Those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(2019- </w:t>
      </w:r>
      <w:r>
        <w:rPr>
          <w:rFonts w:ascii="arial" w:eastAsia="arial" w:hAnsi="arial" w:cs="arial"/>
          <w:b/>
          <w:i w:val="0"/>
          <w:strike w:val="0"/>
          <w:noProof w:val="0"/>
          <w:color w:val="000000"/>
          <w:position w:val="0"/>
          <w:sz w:val="20"/>
          <w:u w:val="none"/>
          <w:vertAlign w:val="baseline"/>
        </w:rPr>
        <w:t> [*15905] </w:t>
      </w:r>
      <w:r>
        <w:rPr>
          <w:rFonts w:ascii="arial" w:eastAsia="arial" w:hAnsi="arial" w:cs="arial"/>
          <w:b w:val="0"/>
          <w:i w:val="0"/>
          <w:strike w:val="0"/>
          <w:noProof w:val="0"/>
          <w:color w:val="000000"/>
          <w:position w:val="0"/>
          <w:sz w:val="20"/>
          <w:u w:val="none"/>
          <w:vertAlign w:val="baseline"/>
        </w:rPr>
        <w:t xml:space="preserve"> 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negligible impact on the net demand for labor in the economy. The net change in jobs is so small that it would be imperceptible in national labor statistics and might be offset by other, unanticipated effects on employment. Chapter 16 of the NOPR TSD presents detailed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standards it is proposing in this document would not lessen the utility or performance of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considers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amended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to the Secretary, together with an analysis of the nature and extent of such impact. (</w:t>
      </w:r>
      <w:hyperlink r:id="rId13"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and (C)(i))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the Attorney General in making such determination, DOE has provided DOJ with copies of this document and the TSD for review. DOE will consider DOJ's comments on the proposed rule in preparing the final rule, and DOE will publish and respond to DOJ's comments in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energy savings from the proposed amended standards for the considered CPB equipment classes could also produce environmental benefits in the form of reduced emissions of air pollutants and greenhouse gases. Table V.41 provides DOE's estimate of cumulative emissions reductions expected to result from the TSLs considered in this rulemaking. The table includes both power sector emissions and upstream emissions. The upstream emissions were calculated using the multipliers discussed in section IV.K of this document. DOE reports annual CO[2], NO[X], and Hg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V.41--Cumulative Emissions Reduction for Potential Standards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Packaged Boilers Shipped in 2019-2048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4,226.55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6,514.58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17,300.87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42,137.12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42,276.97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NOPR, DOE estimated monetary benefits likely to result from the reduced emissions of CO[2] and NO[X] estimated for each of the TSLs considered for commercial packaged boilers. As discussed in section IV.L of this document, for CO[2], DOE used values for the SCC developed by an interagency process. The interagency group selected four sets of SCC values for use in regulatory analyses. The four SCC values for CO[2] emissions reductions in 2015, expressed in 2014$, are $ 12.2 per metric ton (the average value from a distribution that uses a 5-percent discount rate), $ 40.0 per metric ton (the average value from a distribution that uses a 3-percent </w:t>
      </w:r>
      <w:r>
        <w:rPr>
          <w:rFonts w:ascii="arial" w:eastAsia="arial" w:hAnsi="arial" w:cs="arial"/>
          <w:b/>
          <w:i w:val="0"/>
          <w:strike w:val="0"/>
          <w:noProof w:val="0"/>
          <w:color w:val="000000"/>
          <w:position w:val="0"/>
          <w:sz w:val="20"/>
          <w:u w:val="none"/>
          <w:vertAlign w:val="baseline"/>
        </w:rPr>
        <w:t> [*15906] </w:t>
      </w:r>
      <w:r>
        <w:rPr>
          <w:rFonts w:ascii="arial" w:eastAsia="arial" w:hAnsi="arial" w:cs="arial"/>
          <w:b w:val="0"/>
          <w:i w:val="0"/>
          <w:strike w:val="0"/>
          <w:noProof w:val="0"/>
          <w:color w:val="000000"/>
          <w:position w:val="0"/>
          <w:sz w:val="20"/>
          <w:u w:val="none"/>
          <w:vertAlign w:val="baseline"/>
        </w:rPr>
        <w:t xml:space="preserve"> discount rate), $ 62.3 per metric ton (the average value from a distribution that uses a 2.5-percent discount rate), and $ 117 per metric ton (the 95th-percentile value from a distribution that uses a 3-percent discount rate). The fourth set, which represents the 95th-percentile SCC estimate across all three models at a 3-percent discount rate, is included to represent higher-than-expected impacts from temperature change further out in the tails of the SCC distribution. The values for later years are higher due to increasing emissions-related costs as the magnitude of projected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V.42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V.42--Estimate of Global Present Value of CO2 Emissions Reduction for</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 Standards of Commercial Packaged Boilers Shipped in 2019-2048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9,996</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1,457</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11,208</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3,755</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6,057</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continues to evolve rapidly regarding the contribution of CO[2] and other greenhouse gas (GHG) emissions to changes in the future global climate and the potential resulting damages to the world economy.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NOPR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estimated the cumulative monetary value of the economic benefits associated with NO[X] emissions reductions anticipated to result from the considered TSLs for commercial packaged boilers. The dollar-per-ton values that DOE used are discussed in section IV.L of this document. Table V.43 presents the cumulative present value for NO[X] emissions for each TSL calculated using 7-percent and 3-percent discount rates. This table presents values that use the low dollar-per-ton values, which reflect DOE's primary estimate. Results that reflect the range of NO[X] dollar-per-ton values are presented in Table V.45. Detailed discussions on NO[X] emissions reductions are available in chapter 14 of the NOPR TSD. </w:t>
      </w:r>
      <w:r>
        <w:rPr>
          <w:rFonts w:ascii="arial" w:eastAsia="arial" w:hAnsi="arial" w:cs="arial"/>
          <w:b/>
          <w:i w:val="0"/>
          <w:strike w:val="0"/>
          <w:noProof w:val="0"/>
          <w:color w:val="000000"/>
          <w:position w:val="0"/>
          <w:sz w:val="20"/>
          <w:u w:val="none"/>
          <w:vertAlign w:val="baseline"/>
        </w:rPr>
        <w:t> [*15907]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V.43--Present Value of NOX Emissions Reduction for Potential Standards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Commercial Packaged Boilers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V.44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correspond to the four sets of SCC values discussed in section IV.L.1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V.44--Commercial Packaged Boilers TSLs: Net Present Value of Consumer</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Combined With Net Present Value of Monetized Benefits From CO2 and</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Emissions Reductions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and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18.605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13.757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19.152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and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at 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 and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SCC estimate across all three models at a 3-percent discount rate, is included to represent higher-than-expected impacts from temperature change further out in the tails of the SCC distribution. The SCC values are emission year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commercial consumer monetary savings that occur as a result of market transactions, while the value of CO[2] reductions is based on a global value. Second, the assessments of operating cost savings and the SCC are performed with different methods that use quite different time frames for analysis. The national operating cost savings is measured for the lifetime of products shipped in 2019-2048. Because CO[2] emissions have a very long residence time in the atmosphere, n89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national standards more stringent than the current standards for commercial packaged boilers, DOE must determine that such action would result in significant additional conservation of energy and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xml:space="preserve"> and (C)(i)) In determining whether a standard is economically justified, the Secretary must determine whether the benefits of the standard exceed its burdens by, to the greatest extent practicable, considering the seven statutory factors discussed previously. (</w:t>
      </w:r>
      <w:hyperlink r:id="rId13"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 and (C)(i))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amended standards for commercial packaged boilers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Trial Standard Levels Considered for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V.45, Table V.46, and Table V.47 summarize the quantitative impacts estimated for each TSL for commercial packaged boilers. The national impacts are measured over the lifetime of commercial packaged boilers purchased in the 30-year period that begins in the year of compliance with amended standards (2019-2048). The energy savings, emissions reductions, and value of emissions reductions refer to full-fuel-cycle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V.45--Summary of Analytical Results for Commercial Packaged Boilers:</w:t>
            </w:r>
          </w:p>
        </w:tc>
      </w:tr>
      <w:tr>
        <w:tblPrEx>
          <w:tblW w:w="0" w:type="auto"/>
          <w:jc w:val="center"/>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FFC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Commercial consumer Benefits (billion 2014]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166.8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156.3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(71.6)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42,137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 to 1,288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 to 627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 to 988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1,510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1,718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to 223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 to 353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 to 570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V.46--NPV of Commercial Consumer Benefits by Equipment Class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V.47--Summary of Analytical Results for CPB Consumer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Mean LCC Savings 2014$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Simple PBP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Distribution of Commercial Consumer LCC Impacts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corresponds to the max-tech level for all the equipment classes and offers the potential for the highest cumulative energy savings through the analysis period from 2019 through 2048. The estimated energy savings from TSL 5 are 2.37 quads of energy. TSL 5 has an estimated NPV of consumer benefit of $ 0.60 billion using a 7-percent discount rate, and $ 6.0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131 million metric tons of CO[2], 4.53 thousand tons of SO[2], 630 thousand tons of NO[X], 1,510 thousand tons of CH[4], and 0.41 thousand tons of N[2] O, and an emissions increase of 0.002 tons of Hg. The estimated monetary value of the CO[2] emissions reductions at TSL 5 ranges from $ 767 million to $ 11,452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savings range from $ 1,656 to $ 65,128 depending on equipment class. The fraction of consumers incurring a net cost range from 1 percent for large oil-fired steam CPB equipment class to 56 percent for small gas-fired hot water CPB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$ 128.9 million to a decrease of $ 33.4 million, which corresponds to a change in INPV of -71.6 percent to -18.6 percent, respectively. The industry is expected to incur $ 56.6 million in total conversion costs at this level. Approximately 98.7 percent of industry equipment listings would require additional engineering expertise and production lines, or possibly source parts from other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5 for commercial packaged boilers, the benefits of energy savings, NPV of consumer benefits, emission reductions, and the estimated monetary value of the CO[2] emissions reductions would be outweighed by the very large negative change in INPV for manufacturers. Consequently, DOE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corresponds to the efficiency level within each equipment class that provides the highest consumer NPV at a 7% discount rate over the analysis period from 2019 through 2048. The estimated energy savings from TSL 4 are 2.34 quads of energy. TSL 4 has an estimated NPV of consumer benefit of $ 0.67 billion using a 7-percent discount rate, and $ 5.9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128 million metric tons of CO[2], 3.1 thousand tons of SO[2], 553 thousand tons of NO[X], 1,505 thousand tons of CH[4], and 0.36 thousand tons of N[2] O, and an emissions increase of 0.002 tons of Hg. The estimated monetary value of the CO[2] emissions reductions at TSL 4 ranges from $ 751 million to $ 11,208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 from $ 1,656 to $ 65,128 depending on equipment class. The fraction of consumers incurring a net cost range from 1 percent for large oil-fired steam CPB equipment class to 56 percent for small gas-fired hot water CPB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$ 124.1 million to a decrease in $ 34.3 million, which corresponds to a change of -68.9 percent to -19.0 percent, respectively. The industry is expected to incur $ 54.7 million in total conversion costs at this level. Approximately 98.4 percent of industry equipment listings require redesign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4 for commercial packaged boilers, the benefits of energy savings, NPV of consumer benefits, emission reductions, and the estimated monetary value of the CO[2] emissions reductions would be outweighed by the negative change in INPV for manufacturers. Consequently, DOE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corresponds to the intermediate level with both condensing and high efficiency noncondensing standard levels, depending on equipment class, and offers the potential for significant cumulative energy savings over the analysis period from 2019 through 2048. The estimated energy savings from TSL 3 are 0.97 quads of energy. TSL 3 has an estimated NPV of consumer benefit of $ 0.33 billion using a 7-percent discount rate, and $ 2.6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53 million metric tons of CO[2], 1.63 thousand tons of SO[2], 265 thousand tons of NO[X], 618 thousand tons of CH[4], and 0.17 thousand tons of N[2] O, and an emissions increase of 0.002 tons of Hg. The estimated monetary value of the CO[2] emissions reductions at TSL 3 ranges from $ 316 million to $ 4,698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range from $ 302 to $ 36,128 depending on equipment class. The fraction of consumers incurring a net cost range from 1 percent for large oil-fired steam CPB equipment class to 42 percent for small gas-fired hot water CPB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INPV ranges from a decrease of $ 64.0 million to a decrease of $ 22.4 million, which corresponds to a change of -35.5 percent to -12.4 percent, respectively. The industry is expected to incur $ 40.1 million in total conversion costs at this level. Approximately 73.8 percent of industry equipment listings require redesign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carefully considered proposing TSL 3. However, in weighing the benefits of energy savings, NPV of consumer benefits, emission reductions, and the estimated monetary value of the CO[2] emissions reductions against the negative change in INPV for manufacturers, DOE has tentatively concluded that TSL 3 is not economically justified. DOE may </w:t>
      </w:r>
      <w:r>
        <w:rPr>
          <w:rFonts w:ascii="arial" w:eastAsia="arial" w:hAnsi="arial" w:cs="arial"/>
          <w:b/>
          <w:i w:val="0"/>
          <w:strike w:val="0"/>
          <w:noProof w:val="0"/>
          <w:color w:val="000000"/>
          <w:position w:val="0"/>
          <w:sz w:val="20"/>
          <w:u w:val="none"/>
          <w:vertAlign w:val="baseline"/>
        </w:rPr>
        <w:t> [*15911] </w:t>
      </w:r>
      <w:r>
        <w:rPr>
          <w:rFonts w:ascii="arial" w:eastAsia="arial" w:hAnsi="arial" w:cs="arial"/>
          <w:b w:val="0"/>
          <w:i w:val="0"/>
          <w:strike w:val="0"/>
          <w:noProof w:val="0"/>
          <w:color w:val="000000"/>
          <w:position w:val="0"/>
          <w:sz w:val="20"/>
          <w:u w:val="none"/>
          <w:vertAlign w:val="baseline"/>
        </w:rPr>
        <w:t xml:space="preserve"> reexamine this decision based on the public comments received in response to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corresponds to the highest noncondensing efficiency level analyzed for the gas-fired hot water equipment classes and efficiency levels for oil-fired hot water equipment classes that are 2 or 3 percentage points above the equivalent size gas-fired hot water equipment classes, depending on equipment class, and one level below max tech for all steam CPB equipment classes and offers the potential for significant energy savings through the analysis period from 2019 through 2048. The estimated energy savings from TSL 2 are 0.39 quads of energy. TSL 2 has an estimated NPV of consumer benefit of $ 0.41 billion using a 7-percent discount rate, and $ 1.69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22 million metric tons of CO[2], 2.1 thousand tons of SO[2], 162 thousand tons of NO[X], 0.0003 tons of Hg, 233 thousand tons of CH[4], and 0.12 thousand tons of N[2] O. The estimated monetary value of the CO[2] emissions reductions at TSL 2 ranges from $ 136 million to $ 1,998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savings range from $ 521 to $ 36,128 depending on equipment class. The fraction of consumers incurring a net cost range from 1 percent for large oil-fired steam CPB equipment class to 27 percent for large gas-fired hot water CPB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INPV ranges from a decrease of $ 23.8 million to a decrease of $ 13.1 million, which corresponds to a change of -13.2 percent to -7.3 percent, respectively. The industry is expected to incur $ 27.5 million in total conversion costs at this level. Approximately 52.5 percent of industry equipment listings require redesign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2 for commercial packaged boilers, the benefits of energy savings, NPV of consumer benefits, emission reductions, and the estimated monetary value of the CO[2] emissions reductions would outweigh the negative change in INPV for manufacturers. Consequently, DOE has tentatively concluded that TSL 2 is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analysis results and weighing the benefits and burdens of TSL 2, DOE believes that setting the standards for commercial packaged boilers at TSL 2 represents the maximum improvement in energy efficiency that is technologically feasible and economically justified. TSL 2 is technologically feasible because the technologies required to achieve these levels already exist in the current market and are available from multiple manufacturers. TSL 2 is economically justified because the benefits to the nation in the form of energy savings, consumer NPV at 3 percent and at 7 percent, and emissions reductions outweigh the costs associated with reduced INPV. Therefore, DOE proposes to adopt amended energy conservation standards for commercial packaged boilers at the levels established by TSL 2 and presented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only difference between TSL 2 and TSL 3 is in the small gas-fired hot water CPB equipment class. TSL 3 includes the 95% TE level while TSL 2 includes the 85% TE level for that equipment class. TSL 3 results in energy savings that are 250 percent greater than TSL 2. Approximately 72 percent of small gas-fired hot water CPB equipment manufacturers offer at least one product that meets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DOE should adopt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only difference between TSL 2 and TSL 3 is in the small gas-fired hot water CPB equipment class. TSL 3 includes the 95% TE level while TSL 2 includes the 85% TE level for that equipment class. TSL 3 results in energy savings that are 250 percent greater than TSL 2. Approximately 72 percent of small gas-fired hot water CPB equipment manufacturers offer at least one product that meets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DOE should adopt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V.48--Proposed Energy Conservation Standards for Commercial Packaged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Evaluated in This NOPR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required starting (date three years after publication of final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combustion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Oil-Fired Steam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Benefits and Costs (Annualized)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this NOPR's proposed energy conservation standards, for covered commercial packaged boilers sold in 2019-2048, can also be expressed in terms of annualized values. The monetary values for the total annualized net benefits are the sum of: (1) The annualized national economic value (expressed in 2014] of the benefits from consumer operation of equipment that meets the proposed standards (consisting primarily of operating cost savings from using less energy, minus increases in equipment purchase and installation costs), and (2) the annualized value of the benefits of CO[2] and NO[X] emission reductions.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 </w:t>
      </w:r>
      <w:r>
        <w:rPr>
          <w:rFonts w:ascii="arial" w:eastAsia="arial" w:hAnsi="arial" w:cs="arial"/>
          <w:b/>
          <w:i w:val="0"/>
          <w:strike w:val="0"/>
          <w:noProof w:val="0"/>
          <w:color w:val="000000"/>
          <w:position w:val="0"/>
          <w:sz w:val="20"/>
          <w:u w:val="none"/>
          <w:vertAlign w:val="baseline"/>
        </w:rPr>
        <w:t> [*15912]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savings are domestic private U.S. consumer monetary savings that occur as a result of purchasing these equipment. The national operating cost savings is measured for the lifetime of commercial packaged boilers shipped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CO[2] reduction is a benefit that accrues globally due to decreased domestic energy consumption that is expected to result from this proposed rule. Because CO[2] emissions have a very long residence time in the atmosphere, the SCC values in future years reflect future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for commercial packaged boilers under TSL 2 are shown in Table V.49. The results under the primary estimate are as follows. Using a 7-percent discount rate for benefits and costs other than CO[2] reduction, for which DOE used a 3-percent discount rate along with the average SCC series that uses a 3-percent discount rate, the cost of the standards proposed in this rulemaking is $ 51 million per year in increased equipment costs; while the estimated benefits are $ 91 million per year in reduced equipment operating costs, $ 37 million in CO[2] reductions, and $ 16 million in reduced NO[X] emissions. In this case, the net benefit would amount to $ 93 million per year. Using a 3-percent discount rate for all benefits and costs and the average SCC series, the estimated cost of the standards proposed in this rulemaking is $ 48 million per year in increased equipment costs; while the estimated benefits are $ 142 million per year in reduced operating costs, $ 37 million in CO[2] reductions, and $ 25 million in reduced NO[X] emissions. In this case, the net benefit would amount to approximately $ 156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V.49--Annualized Benefits and Costs of Proposed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Packaged Boilers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 to 218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 to 203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 to 258.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 to 278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 to 256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to 338.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149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to 210.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to 230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to 205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 to 293.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commercial packaged boilers shipped in 2019-2048. These results include benefits to consumers which accrue after 2048 from the equipment purchased in 2019-2048. The incremental installed costs include incremental equipment cost as well as installation costs. The CO2 reduction benefits are global benefits due to actions that occur nationally. The Primary, Low Benefits, and High Benefits Estimates utilize projections of building stock and energy prices from the AEO2015 Reference case, Low Economic Growth case, and High Economic Growth case, respectively. In addition, DOE used a constant equipment price assumption as the default price projection; the cost to manufacture a given unit of higher efficiency neither increases nor decreases over time. The equipment price projection is described in section IV.F.1 of this document and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percent. For example, for 2015 emissions, these values are $ 12.2/metric ton, $ 40.0/metric ton, and $ 62.3/metric ton, in 2014$, respectively. The fourth set ($ 117 per metric ton in 2014$ for 2015 emissions), which represents the 95th percentile of the SCC distribution calculated using SCC estimate across all three models at a 3-percent discount rate, is included to represent higher-than-expected impacts from temperature change further out in the tails of the SCC distribution. The SCC values are emission year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www3.epa.gov/ttnecas1/regdata/RIAs/111dproposalRIAfinal0602.pdf.)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presented using only the average SCC with a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this standards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76"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77"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8"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79"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xml:space="preserve">). DOE has prepared the following IRFA for the products that are the subject of this rulemaking. DOE will transmit a copy of the IRFA to the Chief Counsel for Advocacy of the Small Business </w:t>
      </w:r>
      <w:r>
        <w:rPr>
          <w:rFonts w:ascii="arial" w:eastAsia="arial" w:hAnsi="arial" w:cs="arial"/>
          <w:b/>
          <w:i w:val="0"/>
          <w:strike w:val="0"/>
          <w:noProof w:val="0"/>
          <w:color w:val="000000"/>
          <w:position w:val="0"/>
          <w:sz w:val="20"/>
          <w:u w:val="none"/>
          <w:vertAlign w:val="baseline"/>
        </w:rPr>
        <w:t> [*15914] </w:t>
      </w:r>
      <w:r>
        <w:rPr>
          <w:rFonts w:ascii="arial" w:eastAsia="arial" w:hAnsi="arial" w:cs="arial"/>
          <w:b w:val="0"/>
          <w:i w:val="0"/>
          <w:strike w:val="0"/>
          <w:noProof w:val="0"/>
          <w:color w:val="000000"/>
          <w:position w:val="0"/>
          <w:sz w:val="20"/>
          <w:u w:val="none"/>
          <w:vertAlign w:val="baseline"/>
        </w:rPr>
        <w:t xml:space="preserve"> Administration (SBA) for review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considers a business entity to be a small business, if, together with its affiliates, it employs less than a threshold number of workers specified in 13 CFR part 121. These size standards and codes are established by the North American Industry Classification System (NAICS). The threshold number for NAICS classification code 333414, which applies to "heating equipment (except warm air furnaces) manufacturing" and includes commercial packaged boilers, is 500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Statement of the Need for, Objectives of, and Legal Basis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statement of the need for, objectives of, and legal basis for, the proposed rule is stated elsewhere in the preamble and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conducted a market survey using publically-available information to identify potential small manufacturers. DOE's research involved industry trade association membership directories (including AHRI),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Directory, n91 ABMA Directory n92),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or sell products covered by this rulemaking. DOE also asked stakeholders and industry representatives if they were aware of any other small manufacturers during manufacturer interviews and at DOE public meetings. DOE reviewed publicly-available data and contacted companies on its list, as necessary, to determine whether they met the SBA's definition of a small business manufacturer of covered commercial packaged boilers. DOE screened out companies that do not offer products covered by this rulemaking, do not meet the definition of a "small business," or are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See </w:t>
      </w:r>
      <w:hyperlink r:id="rId80"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See </w:t>
      </w:r>
      <w:hyperlink r:id="rId81" w:history="1">
        <w:r>
          <w:rPr>
            <w:rFonts w:ascii="arial" w:eastAsia="arial" w:hAnsi="arial" w:cs="arial"/>
            <w:b w:val="0"/>
            <w:i/>
            <w:strike w:val="0"/>
            <w:noProof w:val="0"/>
            <w:color w:val="0077CC"/>
            <w:position w:val="0"/>
            <w:sz w:val="20"/>
            <w:u w:val="single"/>
            <w:vertAlign w:val="baseline"/>
          </w:rPr>
          <w:t>http://www.abma.com/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initially identified 45 potential manufacturers of commercial packaged boilers sold in the U.S. DOE then determined that 15 are large manufacturers, manufacturers that are foreign owned and operated. DOE was able to determine that 30 manufacturers meet the SBA's definition of a "small business." Of these 30 small businesses, DOE estimates that 23 domestically manufacture commercial packaged boilers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this NOPR, DOE attempted to contact all the small business manufacturers of commercial packaged boilers it had identified. Six small businesses agreed to take part in an MIA interview. DOE also obtained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compiled an equipment database based on equipment listing information provided by the AHRI and ABMA trade associations. However, DOE notes that it does not have product listings data for 11 of the identified 30 small manufacturers since they are not AHRI or ABMA trade association members. The following discussion reflects the available data provided by AHRI and ABMA and assumes the distribution of equipment efficiencies data to be representative of the industry. Additionally, despite extensive interviews with small and large companies, DOE was not able to obtain sufficient financial or sales data to determine typical small manufacturer revenue, operating profit and market share. The small manufacturers provided insufficient data to determine the effect these standards will have on small business revenue or operating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an effort to gauge the relative impacts of this rulemaking on small manufacturers, DOE has conducted a detailed product availability analysis. The analysis investigates the portion of small manufacturers that are currently able to meet the proposed standard. Additionally, it looks that number of equipment models small manufacturers must redesign or eliminate relative to the industry-at-large.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18 small manufacturers and 13 large manufactures that produce gas-fired equipment covered by this rulemaking based on companies included in DOE's equipment database. Roughly 56% of gas-fired equipment listings in the database already meet the proposed standard at TSL 2. This would suggest that TSL 2 already has a strong market presence. DOE's engineering analysis concludes that no proprietary technology is required to meet today's proposed standard level. Manufacturers would likely need to adopt one or a combination of different technology options: (1) Switch from natural or atmospheric draft systems to mechanical draft boilers; (2) improve heat exchanger design using tabulators, fins and multi-pass designs; (3) use high efficiency burner technology such as pulse combustion; or (4) increase jacket insulation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3-4 inches of fiberglass wool).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the equipment database used in the engineering analysis is representative of the industry as a whole, small manufacturers have similar portions of product listings at TSL 2 as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gas-fired sector. Industry conversion costs for gas-fired product at TSL 2 total $ 18.3 million. This results in an average conversion cost of approximately $ 0.42 million per manufacturer.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This estimate was derived by taking total conversion costs for gas-fired equipment divided by total gas-fired equipment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VI.1 and Table VI.2 looks at the differential impacts of the standard on small manufacturers versus the industry at large. Table VI.1 estimates the percent of small manufacturers and their listings that currently comply with TSL 2. Table VI.2 estimates the percent of all manufacturers, both large and small, and their listings that currently comply with TSL 2. </w:t>
      </w:r>
      <w:r>
        <w:rPr>
          <w:rFonts w:ascii="arial" w:eastAsia="arial" w:hAnsi="arial" w:cs="arial"/>
          <w:b/>
          <w:i w:val="0"/>
          <w:strike w:val="0"/>
          <w:noProof w:val="0"/>
          <w:color w:val="000000"/>
          <w:position w:val="0"/>
          <w:sz w:val="20"/>
          <w:u w:val="none"/>
          <w:vertAlign w:val="baseline"/>
        </w:rPr>
        <w:t> [*15915]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VI.1--Small Gas-Fired Manufacturers Compliant at the Proposed Standard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listings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products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VI.2--Industry Gas-Fired Manufacturers Compliant at the Proposed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listings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products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Gas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product listings as representative market data, DOE estimates average conversion costs of $ 0.63 million for large manufacturers and $ 0.31 million for small manufacturers of gas-fired equipment. Since this is a relatively low volume market where most products are built-to-order, DOE assumes that capital conversion costs do not vary significantly between large and small manufacturers.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 amount of engineering effort is proportional to the number of models that require redesign. For this estimate, DOE used its product database to determine what portion of industry models would need to be redesigned for large and small manufacturers to determine the values for each. DOE used the number of models requiring redesign to scale large versus small product conversion costs. For gas-fired equipment, DOE used gas-fired model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market for oil-fired equipment, DOE identified seven small manufacturers and six large manufacturers producing equipment covered by this rulemaking based on the equipment database. Combined, they sell roughly 1,000 units per year, or 5% of the total annual market for CPB equipment. Due to the small size of the oil-fired market, DOE expects that the manufacturing processes and production costs to be similar for both small and large manufacturers. DOE notes that the market for oil-fired commercial packaged boilers is shrinking. Some manufacturers, both small and large, may choose not to invest in product redesign given the small market size and projected decline in shipments. For manufacturers that do stay in the oil-fired market, DOE's analysis indicates that there are no proprietary technologies required to meet TSL 2. Manufacturers would likely need to adopt one or a combination of different technology options: (1) Integrate oxygen trimmers; (2) improve heat exchanger design; (3) use high efficiency burner technology such as pulse combustion; or (4) increase jacket insulation. Thus, DOE would expect similar conversion costs for small and large manufacturers on a per product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VI.3 estimates the percent of small manufacturers and their listings that currently comply with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VI.4 estimates the percent of all manufacturers, both large and small, and their listings that currently comply with TSL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VI.3--Small Oil-Fired Manufacturers Compliant at the Proposed Standard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listings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products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VI.4--Industry Oil-Fired Manufacturers Compliant at the Proposed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listings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products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compliant at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 Hot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Oil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product listings as representative market data, DOE estimates average conversion costs of $ 0.90 million for large manufacturers and $ 0.28 million for small manufacturers of oil-fired equipment. Since this is a relatively low volume market where most products are built-to-order, DOE assumes that capital conversion costs do not vary significantly between large and small manufacturers.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amount of engineering effort is proportional to the number of models that require redesign. For this estimate, DOE used its product database to determine what portion of industry models would need to be redesigned for large and small manufacturers to determine the values for each. DOE used the number of models requiring redesign to scale large versus small product conversion costs. For oil-fired equipment, DOE used oil-fired model listings to scale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assumed the data for small manufacturer's products in the AHRI and ABMA databases are representative of all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appropriateness of the Manufacturer Impact Analysis' assumption that the AHRI and ABMA equipment databases are representative of all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requests product listing data from small manufacturers that are not AHRI or ABMA trade association members--including model numbers, capacity, and efficiency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continues to seek financial, sales, and market share data from small manufacturers to better understand and analyze the impact of these proposed standards and conversion costs on the revenue and operating profit of a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VII.E for a list of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rulemaking being proposed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above analyzes impacts on small businesses that would result from DOE's proposed rule. In addition to considering other TSLs in this rulemaking, DOE considered several policy alternatives in lieu of standards that could potentially result in energy savings while reducing burdens on small businesses. DOE considered the following policy alternatives: (1) No change in standard; (2) consumer rebates; (3) consumer tax credits; (4) voluntary energy efficiency targets; and (5) bulk government purchases. While these alternatives may mitigate to some varying extent the economic impacts on small entities compared to the standards, DOE determined that the energy savings of these alternatives are significantly smaller than those that would be expected to result from adoption of the proposed standard levels. Accordingly, DOE is declining to adopt any of these alternatives and is proposing the standards set forth in this rulemaking. (See chapter 17 of the NOPR TSD for further detail on the policy alternatives DOE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82"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3"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commercial packaged boilers must certify to DOE that their equipment comply with any applicable energy conservation standards. In certifying compliance, manufacturers must test their equipment according to the DOE test procedures for commercial packaged boilers,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equipment and commercial equipment, including commercial packaged boilers. </w:t>
      </w:r>
      <w:hyperlink r:id="rId84"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DOE requested OMB approval of an extension of this information collection for three years, specifically including the collection of information proposed in the present rulemaking, and estimated that the annual number of burden hours under this extension is 30 hours per company. In response to DOE's request, OMB approved DOE's information collection requirements covered under OMB control number 1910-1400 through November 30, 2017.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(January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w:t>
      </w:r>
      <w:r>
        <w:rPr>
          <w:rFonts w:ascii="arial" w:eastAsia="arial" w:hAnsi="arial" w:cs="arial"/>
          <w:b/>
          <w:i w:val="0"/>
          <w:strike w:val="0"/>
          <w:noProof w:val="0"/>
          <w:color w:val="000000"/>
          <w:position w:val="0"/>
          <w:sz w:val="20"/>
          <w:u w:val="none"/>
          <w:vertAlign w:val="baseline"/>
        </w:rPr>
        <w:t> [*15917] </w:t>
      </w:r>
      <w:r>
        <w:rPr>
          <w:rFonts w:ascii="arial" w:eastAsia="arial" w:hAnsi="arial" w:cs="arial"/>
          <w:b w:val="0"/>
          <w:i w:val="0"/>
          <w:strike w:val="0"/>
          <w:noProof w:val="0"/>
          <w:color w:val="000000"/>
          <w:position w:val="0"/>
          <w:sz w:val="20"/>
          <w:u w:val="none"/>
          <w:vertAlign w:val="baseline"/>
        </w:rPr>
        <w:t xml:space="preserve">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equipment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85"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6"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that are the subject of this proposed rule. States can petition DOE for exemption from such preemption to the extent, and based on criteria, set forth in EPCA. (</w:t>
      </w:r>
      <w:hyperlink r:id="rId88"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89"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9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1"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92"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79"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proposed rule does not contain a Federal intergovernmental mandate, it may require expenditures of $ 100 million or more on the private sector. Specifically, the proposed rule will likely result in a final rule that could require expenditures of $ 100 million or more. Such expenditures may include (1) investment in research and development and in capital expenditures by commercial packaged boilers manufacturers in the years between the final rule and the compliance date for the new standards, and (2) incremental additional expenditures by consumers to purchase higher-efficiency commercial packaged boilers,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proposed rule. </w:t>
      </w:r>
      <w:hyperlink r:id="rId91"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93"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3"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xml:space="preserve">, this proposed rule would establish energy conservation standards for commercial packaged boilers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 </w:t>
      </w:r>
      <w:r>
        <w:rPr>
          <w:rFonts w:ascii="arial" w:eastAsia="arial" w:hAnsi="arial" w:cs="arial"/>
          <w:b/>
          <w:i w:val="0"/>
          <w:strike w:val="0"/>
          <w:noProof w:val="0"/>
          <w:color w:val="000000"/>
          <w:position w:val="0"/>
          <w:sz w:val="20"/>
          <w:u w:val="none"/>
          <w:vertAlign w:val="baseline"/>
        </w:rPr>
        <w:t> [*15918]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proposed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under Executive Order 12630, "Governmental Actions and Interference with Constitutionally Protected Property Rights" </w:t>
      </w:r>
      <w:hyperlink r:id="rId94"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 15, 1988),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5"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guidelines established by each agency pursuant to general guidelines issued by OMB. OMB's guidelines were published at </w:t>
      </w:r>
      <w:hyperlink r:id="rId96"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7"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8"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energy conservation standards for commercial packaged boilers,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70 FR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99"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document. If you plan to attend the public meeting, please notify Ms. Brenda Edwards at (202) 586-2945 or </w:t>
      </w:r>
      <w:hyperlink r:id="rId10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foreign nationals participating in the public meeting are subject to advance security screening procedures which require advance notice prior to attendance at the public meeting. If a foreign national wishes to participate in the public meeting, please inform DOE as soon as possible by contacting Ms. Regina Washington at (202) 586-1214 or by email: </w:t>
      </w:r>
      <w:hyperlink r:id="rId101"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building. Any person wishing to bring these devices into the Forrestal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 requirements for individuals wishing to enter Federal buildings from specific states and U.S. territories. Driver's licenses from the following states or territory will not be accepted for building entry and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w:t>
      </w:r>
      <w:r>
        <w:rPr>
          <w:rFonts w:ascii="arial" w:eastAsia="arial" w:hAnsi="arial" w:cs="arial"/>
          <w:b/>
          <w:i w:val="0"/>
          <w:strike w:val="0"/>
          <w:noProof w:val="0"/>
          <w:color w:val="000000"/>
          <w:position w:val="0"/>
          <w:sz w:val="20"/>
          <w:u w:val="none"/>
          <w:vertAlign w:val="baseline"/>
        </w:rPr>
        <w:t> [*15919] </w:t>
      </w:r>
      <w:r>
        <w:rPr>
          <w:rFonts w:ascii="arial" w:eastAsia="arial" w:hAnsi="arial" w:cs="arial"/>
          <w:b w:val="0"/>
          <w:i w:val="0"/>
          <w:strike w:val="0"/>
          <w:noProof w:val="0"/>
          <w:color w:val="000000"/>
          <w:position w:val="0"/>
          <w:sz w:val="20"/>
          <w:u w:val="none"/>
          <w:vertAlign w:val="baseline"/>
        </w:rPr>
        <w:t xml:space="preserve"> participants will be published on DOE's Web site at: </w:t>
      </w:r>
      <w:hyperlink r:id="rId102" w:history="1">
        <w:r>
          <w:rPr>
            <w:rFonts w:ascii="arial" w:eastAsia="arial" w:hAnsi="arial" w:cs="arial"/>
            <w:b w:val="0"/>
            <w:i/>
            <w:strike w:val="0"/>
            <w:noProof w:val="0"/>
            <w:color w:val="0077CC"/>
            <w:position w:val="0"/>
            <w:sz w:val="20"/>
            <w:u w:val="single"/>
            <w:vertAlign w:val="baseline"/>
          </w:rPr>
          <w:t>https://attendee.gotowebinar.com/register/6872804566336170753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03"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A court reporter will be present to record the proceedings and prepare a transcript. DOE reserves the right to schedule the order of presentations and to establish the procedures governing the conduct of the public meeting.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document.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 </w:t>
      </w:r>
      <w:r>
        <w:rPr>
          <w:rFonts w:ascii="arial" w:eastAsia="arial" w:hAnsi="arial" w:cs="arial"/>
          <w:b/>
          <w:i w:val="0"/>
          <w:strike w:val="0"/>
          <w:noProof w:val="0"/>
          <w:color w:val="000000"/>
          <w:position w:val="0"/>
          <w:sz w:val="20"/>
          <w:u w:val="none"/>
          <w:vertAlign w:val="baseline"/>
        </w:rPr>
        <w:t> [*15920]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According to </w:t>
      </w:r>
      <w:hyperlink r:id="rId105"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requests data on manufacturer selling prices, shipments and conversion costs of very large commercial packaged boilers with fuel input rate above 10,000 kBtu/h that can be used to supplement the analyses of such equipment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requests feedback on the methodology used to analyze all equipment classes and the results obtained. In particular DOE is interested in comments on whether the results are appropriate and representative of the current market prices for such type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requests information or insight that can better inform its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feedback on the methodology and assumptions used for the building heat load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information on what constitutes a reasonable baseline assumption about the current degree of adoption of hybrid boiler configurations in retrofit situations and on other related parameters such as percentage of total installed capacity typically assigned to the new condensing boilers, climate zones where it may be more prevalent and any other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seeks input on its characterization and development of representative installation costs, including venting costs, in new and replacement commercial package boiler installations, including data to support assumptions on vent sizing, vent length distributions, and vent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and seeks data on the assumption that a rebound effect is unlikely to occur for these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comments on the representativeness of using 1-year as warranty for parts and labor, and 10-years as warranty for the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seeks feedback on the assumptions used to develop historical and projected shipments of commercial packaged boilers and the representativeness of its estimates of projected shipments. DOE also requests information on historical shipments of commercial packaged boilers including shipments by equipment class for small, large, and very large commercial packaged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requests feedback on the assumptions used to estimate the impact of relative price increases on commercial packaged boiler shipments due to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requests additional information from manufacturers regarding conversion costs for oil-fired products. Specifically, DOE is interested in estimates of capital conversion costs at each TSL and the change in manufacturing equipment associated with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requests comment on whether DOE should adopt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 on the appropriateness of the Manufacturer Impact Analysis' assumption that the AHRI and ABMA equipment databases are representative of all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 also requests product listing data from small manufacturers that are not AHRI or ABMA trade association members--including model numbers, capacity, and efficiency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also continues to seek financial, sales, and market share data from small manufacturers to better understand and analyze the impact of these proposed standards and conversion costs on the revenue and operating profit of a small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March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8"/>
        </w:numPr>
        <w:spacing w:before="120" w:line="240" w:lineRule="atLeast"/>
      </w:pPr>
      <w:r>
        <w:rPr>
          <w:b/>
          <w:i w:val="0"/>
          <w:sz w:val="20"/>
        </w:rPr>
        <w:t>ROGRAM FOR CERTAIN COMMERCIAL AND INDUSTRIAL EQUIPMENT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431.87 is revised to read as follows:</w:t>
      </w:r>
    </w:p>
    <w:p>
      <w:pPr>
        <w:numPr>
          <w:numId w:val="20"/>
        </w:numPr>
        <w:spacing w:before="120" w:line="240" w:lineRule="atLeast"/>
      </w:pPr>
      <w:r>
        <w:rPr>
          <w:b/>
          <w:i w:val="0"/>
          <w:sz w:val="20"/>
        </w:rPr>
        <w:t>tandards and their effective dates.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commercial packaged boilers listed in Table 1 to § 431.87 and manufactured on or after March 2, 2012 and prior to [DATE 3 YEARS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FINAL RULE ESTABLISHING AMENDED ENERGY CONSERVATION STANDARDS FOR COMMERCIAL PACKAGED BOILERS], must meet the applicable energy conservation standard levels in Table 1. </w:t>
      </w:r>
      <w:r>
        <w:rPr>
          <w:rFonts w:ascii="arial" w:eastAsia="arial" w:hAnsi="arial" w:cs="arial"/>
          <w:b/>
          <w:i w:val="0"/>
          <w:strike w:val="0"/>
          <w:noProof w:val="0"/>
          <w:color w:val="000000"/>
          <w:position w:val="0"/>
          <w:sz w:val="20"/>
          <w:u w:val="none"/>
          <w:vertAlign w:val="baseline"/>
        </w:rPr>
        <w:t> [*15921]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1 to § 431.87--Commercial Packaged Boiler Energy Conservations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Size category</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(fuel input rate)</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conservation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standard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 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 2,500,000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 EC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 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 2,500,000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84.0% EC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Gas-fired--all,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79.0% 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natural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 2,500,000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Gas-fired--all,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79.0% 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natural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Gas-fired--natural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 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 2,500,000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Gas-fired--natural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 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 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 2,500,000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 ET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Where ET means "thermal efficiency" and EC means "combustion efficiency" as defined in </w:t>
      </w:r>
      <w:hyperlink r:id="rId33" w:history="1">
        <w:r>
          <w:rPr>
            <w:rFonts w:ascii="arial" w:eastAsia="arial" w:hAnsi="arial" w:cs="arial"/>
            <w:b w:val="0"/>
            <w:i/>
            <w:strike w:val="0"/>
            <w:noProof w:val="0"/>
            <w:color w:val="0077CC"/>
            <w:position w:val="0"/>
            <w:sz w:val="20"/>
            <w:u w:val="single"/>
            <w:vertAlign w:val="baseline"/>
          </w:rPr>
          <w:t>10 CFR 431.82</w:t>
        </w:r>
      </w:hyperlink>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commercial packaged boilers listed in Table 2 to § 431.87 and manufactured on or after [DATE 3 YEARS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FINAL RULE ESTABLISHING AMENDED ENERGY CONSERVATION STANDARDS FOR COMMERCIAL PACKAGED BOILERS], must meet the applicable energy conservation standard levels in Table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52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2 to § 431.87--Commercial Packaged Boiler Energy Conservations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252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Size category</w:t>
            </w: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(fuel input rate)</w:t>
            </w: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conservation</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standard *</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Gas-Fired Hot Water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 ET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2,500,000 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Gas-Fired Hot Water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 EC</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10,000,000</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Gas-Fired Hot Water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&gt;10,000,000 Btu/h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 EC</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Boilers</w:t>
            </w:r>
          </w:p>
        </w:tc>
        <w:tc>
          <w:tcPr>
            <w:tcW w:w="252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Oil-Fired Hot Water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87.0% ET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2,500,000 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Oil-Fired Hot Water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88.0% EC</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10,000,000</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Oil-Fired Hot Water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&gt;10,000,000 Btu/h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84.0% EC</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Boilers</w:t>
            </w:r>
          </w:p>
        </w:tc>
        <w:tc>
          <w:tcPr>
            <w:tcW w:w="252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Gas-Fired Steam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 ET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2,500,000 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Gas-Fired Steam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 ET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10,000,000</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Gas-Fired Steam</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&gt;10,000,000 Btu/h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79.0% ET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Boilers **</w:t>
            </w:r>
          </w:p>
        </w:tc>
        <w:tc>
          <w:tcPr>
            <w:tcW w:w="252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Oil-Fired Steam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84.0% ET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2,500,000 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Oil-Fired Steam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&gt;2,500,000 Btu/h and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 ET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10,000,000</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Oil-Fired Steam</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&gt;10,000,000 Btu/h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 ET</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Boilers</w:t>
            </w:r>
          </w:p>
        </w:tc>
        <w:tc>
          <w:tcPr>
            <w:tcW w:w="2520" w:type="dxa"/>
            <w:tcBorders>
              <w:right w:val="nil"/>
            </w:tcBorders>
          </w:tcPr>
          <w:p/>
        </w:tc>
        <w:tc>
          <w:tcPr>
            <w:tcW w:w="2040" w:type="dxa"/>
          </w:tcPr>
          <w:p/>
        </w:tc>
      </w:tr>
    </w:tbl>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Where ET means "thermal efficiency" and EC means "combustion efficiency" as defined in </w:t>
      </w:r>
      <w:hyperlink r:id="rId33" w:history="1">
        <w:r>
          <w:rPr>
            <w:rFonts w:ascii="arial" w:eastAsia="arial" w:hAnsi="arial" w:cs="arial"/>
            <w:b w:val="0"/>
            <w:i/>
            <w:strike w:val="0"/>
            <w:noProof w:val="0"/>
            <w:color w:val="0077CC"/>
            <w:position w:val="0"/>
            <w:sz w:val="20"/>
            <w:u w:val="single"/>
            <w:vertAlign w:val="baseline"/>
          </w:rPr>
          <w:t>10 CFR 431.82</w:t>
        </w:r>
      </w:hyperlink>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Prior to March 2, 2022, for natural draft very large gas-fired steam commercial packaged boilers, a minimum thermal efficiency level of 77% is permitted and meets Federal commercial packaged boiler energy conservation standards.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2016-06588 Filed 3-23-16;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Thursday, April 21, 2016, from 9:30 a.m. to 3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May 23, 2016. See section VII,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April 25,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1E-245, 1000 Independence Avenue SW., Washington, DC 20585. To register for the webinar and receive call-in information, please use this link: </w:t>
      </w:r>
      <w:hyperlink r:id="rId102" w:history="1">
        <w:r>
          <w:rPr>
            <w:rFonts w:ascii="arial" w:eastAsia="arial" w:hAnsi="arial" w:cs="arial"/>
            <w:b w:val="0"/>
            <w:i/>
            <w:strike w:val="0"/>
            <w:noProof w:val="0"/>
            <w:color w:val="0077CC"/>
            <w:position w:val="0"/>
            <w:sz w:val="20"/>
            <w:u w:val="single"/>
            <w:vertAlign w:val="baseline"/>
          </w:rPr>
          <w:t>https://attendee.gotowebinar.com/register/6872804566336170753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Commercial Packaged Boilers, and provide docket number EERE-2013-BT-STD-0030 and/or regulatory information number (RIN) number 1904-AD01.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6" w:history="1">
        <w:r>
          <w:rPr>
            <w:rFonts w:ascii="arial" w:eastAsia="arial" w:hAnsi="arial" w:cs="arial"/>
            <w:b w:val="0"/>
            <w:i/>
            <w:strike w:val="0"/>
            <w:noProof w:val="0"/>
            <w:color w:val="0077CC"/>
            <w:position w:val="0"/>
            <w:sz w:val="20"/>
            <w:u w:val="single"/>
            <w:vertAlign w:val="baseline"/>
          </w:rPr>
          <w:t>PkgdBoilers2013STD0030@ee.doe.gov</w:t>
        </w:r>
      </w:hyperlink>
      <w:r>
        <w:rPr>
          <w:rFonts w:ascii="arial" w:eastAsia="arial" w:hAnsi="arial" w:cs="arial"/>
          <w:b w:val="0"/>
          <w:i w:val="0"/>
          <w:strike w:val="0"/>
          <w:noProof w:val="0"/>
          <w:color w:val="000000"/>
          <w:position w:val="0"/>
          <w:sz w:val="20"/>
          <w:u w:val="none"/>
          <w:vertAlign w:val="baseline"/>
        </w:rPr>
        <w:t>. Include the docket number EERE-2013-BT-STD-0030 and/or RIN 1904-AD01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Room 6094, Washington, DC 20024. Telephone: (202) 586-2945. If possible, please submit all items on a compact disc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07"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08"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April 25, 2016. Please indicate in the "subject" line of your email the title and Docket Number of this proposed rule.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at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exempted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31" w:history="1">
        <w:r>
          <w:rPr>
            <w:rFonts w:ascii="arial" w:eastAsia="arial" w:hAnsi="arial" w:cs="arial"/>
            <w:b w:val="0"/>
            <w:i/>
            <w:strike w:val="0"/>
            <w:noProof w:val="0"/>
            <w:color w:val="0077CC"/>
            <w:position w:val="0"/>
            <w:sz w:val="20"/>
            <w:u w:val="single"/>
            <w:vertAlign w:val="baseline"/>
          </w:rPr>
          <w:t>http://www1.eere.energy.gov/buildings/appliance_standards/rulemaking.aspx?ruleid=79</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document on the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of this document for further information on how to submit comments through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James Raba, U.S. Department of Energy, Office of Energy Efficiency and Renewable Energy, Building Technologies Office, EE-5B, 1000 Independence Avenue SW., Washington, DC 20585-0121. Telephone: (202) 586-8654. Email: </w:t>
      </w:r>
      <w:hyperlink r:id="rId109" w:history="1">
        <w:r>
          <w:rPr>
            <w:rFonts w:ascii="arial" w:eastAsia="arial" w:hAnsi="arial" w:cs="arial"/>
            <w:b w:val="0"/>
            <w:i/>
            <w:strike w:val="0"/>
            <w:noProof w:val="0"/>
            <w:color w:val="0077CC"/>
            <w:position w:val="0"/>
            <w:sz w:val="20"/>
            <w:u w:val="single"/>
            <w:vertAlign w:val="baseline"/>
          </w:rPr>
          <w:t>Jim.Raba@ee.doe.gov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Peter Cochran, U.S. Department of Energy, Office of the General Counsel, GC-33 1000 Independence Avenue SW., Washington, DC 20585-0121. Telephone: (202) 586-9496. Email: </w:t>
      </w:r>
      <w:hyperlink r:id="rId110" w:history="1">
        <w:r>
          <w:rPr>
            <w:rFonts w:ascii="arial" w:eastAsia="arial" w:hAnsi="arial" w:cs="arial"/>
            <w:b w:val="0"/>
            <w:i/>
            <w:strike w:val="0"/>
            <w:noProof w:val="0"/>
            <w:color w:val="0077CC"/>
            <w:position w:val="0"/>
            <w:sz w:val="20"/>
            <w:u w:val="single"/>
            <w:vertAlign w:val="baseline"/>
          </w:rPr>
          <w:t>Peter.Cochran@hq.doe.gov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0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15836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431.87 Energy conserv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01-NRF4-44P9-00000-00&amp;context=" TargetMode="External" /><Relationship Id="rId100" Type="http://schemas.openxmlformats.org/officeDocument/2006/relationships/hyperlink" Target="mailto:Brenda.Edwards@ee.doe.gov" TargetMode="External" /><Relationship Id="rId101" Type="http://schemas.openxmlformats.org/officeDocument/2006/relationships/hyperlink" Target="mailto:Regina.Washington@ee.doe.gov" TargetMode="External" /><Relationship Id="rId102" Type="http://schemas.openxmlformats.org/officeDocument/2006/relationships/hyperlink" Target="https://attendee.gotowebinar.com/register/6872804566336170753" TargetMode="External" /><Relationship Id="rId103" Type="http://schemas.openxmlformats.org/officeDocument/2006/relationships/hyperlink" Target="https://advance.lexis.com/api/document?collection=statutes-legislation&amp;id=urn:contentItem:4YF7-GV11-NRF4-42G3-00000-00&amp;context=" TargetMode="External" /><Relationship Id="rId104" Type="http://schemas.openxmlformats.org/officeDocument/2006/relationships/hyperlink" Target="http://www.regulations.gov" TargetMode="External" /><Relationship Id="rId105" Type="http://schemas.openxmlformats.org/officeDocument/2006/relationships/hyperlink" Target="https://advance.lexis.com/api/document?collection=administrative-codes&amp;id=urn:contentItem:5PWY-CVX0-008G-Y2NC-00000-00&amp;context=" TargetMode="External" /><Relationship Id="rId106" Type="http://schemas.openxmlformats.org/officeDocument/2006/relationships/hyperlink" Target="mailto:PkgdBoilers2013STD0030@ee.doe.gov" TargetMode="External" /><Relationship Id="rId107" Type="http://schemas.openxmlformats.org/officeDocument/2006/relationships/hyperlink" Target="mailto:Chad_S_Whiteman@omb.eop.gov" TargetMode="External" /><Relationship Id="rId108" Type="http://schemas.openxmlformats.org/officeDocument/2006/relationships/hyperlink" Target="mailto:energy.standards@usdoj.gov" TargetMode="External" /><Relationship Id="rId109" Type="http://schemas.openxmlformats.org/officeDocument/2006/relationships/hyperlink" Target="mailto:Jim.Raba@ee.doe.gov" TargetMode="External" /><Relationship Id="rId11" Type="http://schemas.openxmlformats.org/officeDocument/2006/relationships/hyperlink" Target="https://advance.lexis.com/api/document?collection=statutes-legislation&amp;id=urn:contentItem:4YF7-GRW1-NRF4-420B-00000-00&amp;context=" TargetMode="External" /><Relationship Id="rId110" Type="http://schemas.openxmlformats.org/officeDocument/2006/relationships/hyperlink" Target="mailto:Peter.Cochran@hq.doe.gov" TargetMode="External" /><Relationship Id="rId111" Type="http://schemas.openxmlformats.org/officeDocument/2006/relationships/numbering" Target="numbering.xml" /><Relationship Id="rId112" Type="http://schemas.openxmlformats.org/officeDocument/2006/relationships/styles" Target="styles.xml" /><Relationship Id="rId12" Type="http://schemas.openxmlformats.org/officeDocument/2006/relationships/hyperlink" Target="https://advance.lexis.com/api/document?collection=statutes-legislation&amp;id=urn:contentItem:5CD7-HSJ0-01XN-S116-00000-00&amp;context=" TargetMode="External" /><Relationship Id="rId13" Type="http://schemas.openxmlformats.org/officeDocument/2006/relationships/hyperlink" Target="https://advance.lexis.com/api/document?collection=statutes-legislation&amp;id=urn:contentItem:4YF7-GSK1-NRF4-43W1-00000-00&amp;context=" TargetMode="External" /><Relationship Id="rId14" Type="http://schemas.openxmlformats.org/officeDocument/2006/relationships/hyperlink" Target="http://www1.eere.energy.gov/buildings/appliance_standards/rulemaking.aspx?ruleid=108" TargetMode="External" /><Relationship Id="rId15" Type="http://schemas.openxmlformats.org/officeDocument/2006/relationships/hyperlink" Target="http://www.whitehouse.gov/sites/default/files/omb/inforeg/scc-tsd-final-july-2015.pdf" TargetMode="External" /><Relationship Id="rId16" Type="http://schemas.openxmlformats.org/officeDocument/2006/relationships/hyperlink" Target="http://www.ashrae.org" TargetMode="External" /><Relationship Id="rId17" Type="http://schemas.openxmlformats.org/officeDocument/2006/relationships/hyperlink" Target="https://advance.lexis.com/api/document?collection=statutes-legislation&amp;id=urn:contentItem:4YF7-GRF1-NRF4-434F-00000-00&amp;context=" TargetMode="External" /><Relationship Id="rId18" Type="http://schemas.openxmlformats.org/officeDocument/2006/relationships/hyperlink" Target="https://advance.lexis.com/api/document?collection=administrative-codes&amp;id=urn:contentItem:5PWY-CWX0-008G-Y0HT-00000-00&amp;context=" TargetMode="External" /><Relationship Id="rId19" Type="http://schemas.openxmlformats.org/officeDocument/2006/relationships/hyperlink" Target="https://advance.lexis.com/api/document?collection=administrative-codes&amp;id=urn:contentItem:4WTS-D4K0-006W-821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8G-DB00-006W-84WS-00000-00&amp;context=" TargetMode="External" /><Relationship Id="rId21" Type="http://schemas.openxmlformats.org/officeDocument/2006/relationships/hyperlink" Target="http://www1.eere.energy.gov/buildings/appliance_standards/rulemaking.aspx/ruleid/79" TargetMode="External" /><Relationship Id="rId22" Type="http://schemas.openxmlformats.org/officeDocument/2006/relationships/hyperlink" Target="https://advance.lexis.com/api/document?collection=administrative-codes&amp;id=urn:contentItem:5DMY-T4M0-006W-802N-00000-00&amp;context=" TargetMode="External" /><Relationship Id="rId23" Type="http://schemas.openxmlformats.org/officeDocument/2006/relationships/hyperlink" Target="https://advance.lexis.com/api/document?collection=administrative-codes&amp;id=urn:contentItem:5941-3H00-006W-82ND-00000-00&amp;context=" TargetMode="External" /><Relationship Id="rId24" Type="http://schemas.openxmlformats.org/officeDocument/2006/relationships/hyperlink" Target="https://advance.lexis.com/api/document?collection=administrative-codes&amp;id=urn:contentItem:5GS7-5950-006W-84FW-00000-00&amp;context=" TargetMode="External" /><Relationship Id="rId25" Type="http://schemas.openxmlformats.org/officeDocument/2006/relationships/hyperlink" Target="https://advance.lexis.com/api/document?collection=administrative-codes&amp;id=urn:contentItem:5BJR-GVV0-006W-81KH-00000-00&amp;context=" TargetMode="External" /><Relationship Id="rId26" Type="http://schemas.openxmlformats.org/officeDocument/2006/relationships/hyperlink" Target="http://energy.gov/eere/buildings/downloads/issuance-2016-02-22-energy-conservation-program-certain-commercial-and" TargetMode="External" /><Relationship Id="rId27" Type="http://schemas.openxmlformats.org/officeDocument/2006/relationships/hyperlink" Target="http://www.regulations.gov/#!docketDetail"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G7B0-0039-P2W6-00000-00&amp;context=" TargetMode="External" /><Relationship Id="rId31" Type="http://schemas.openxmlformats.org/officeDocument/2006/relationships/hyperlink" Target="http://www1.eere.energy.gov/buildings/appliance_standards/rulemaking.aspx?ruleid=79" TargetMode="External" /><Relationship Id="rId32" Type="http://schemas.openxmlformats.org/officeDocument/2006/relationships/hyperlink" Target="http://tonto.eia.doe.gov/FTPROOT/forecasting/058198.pdf" TargetMode="External" /><Relationship Id="rId33" Type="http://schemas.openxmlformats.org/officeDocument/2006/relationships/hyperlink" Target="https://advance.lexis.com/api/document?collection=administrative-codes&amp;id=urn:contentItem:5PWY-CWY0-008G-Y11V-00000-00&amp;context=" TargetMode="External" /><Relationship Id="rId34" Type="http://schemas.openxmlformats.org/officeDocument/2006/relationships/hyperlink" Target="https://advance.lexis.com/api/document?collection=administrative-codes&amp;id=urn:contentItem:5PWY-CWX0-008G-Y0HV-00000-00&amp;context=" TargetMode="External" /><Relationship Id="rId35" Type="http://schemas.openxmlformats.org/officeDocument/2006/relationships/hyperlink" Target="https://www.ahridirectory.org/ahridirectory/pages/home.aspx" TargetMode="External" /><Relationship Id="rId36" Type="http://schemas.openxmlformats.org/officeDocument/2006/relationships/hyperlink" Target="http://www.hardinet.org/Profit-Report" TargetMode="External" /><Relationship Id="rId37" Type="http://schemas.openxmlformats.org/officeDocument/2006/relationships/hyperlink" Target="http://www.acca.org/store/" TargetMode="External" /><Relationship Id="rId38" Type="http://schemas.openxmlformats.org/officeDocument/2006/relationships/hyperlink" Target="http://www.census.gov/econ/" TargetMode="External" /><Relationship Id="rId39" Type="http://schemas.openxmlformats.org/officeDocument/2006/relationships/hyperlink" Target="http://thestc.com/STrates.stm" TargetMode="External" /><Relationship Id="rId4" Type="http://schemas.openxmlformats.org/officeDocument/2006/relationships/header" Target="header1.xml" /><Relationship Id="rId40" Type="http://schemas.openxmlformats.org/officeDocument/2006/relationships/hyperlink" Target="http://www.eia.gov/consumption/commercial/data/2003/" TargetMode="External" /><Relationship Id="rId41" Type="http://schemas.openxmlformats.org/officeDocument/2006/relationships/hyperlink" Target="http://www.eia.gov/consumption/commercial/data/2012/index.cfm?view=microdata" TargetMode="External" /><Relationship Id="rId42" Type="http://schemas.openxmlformats.org/officeDocument/2006/relationships/hyperlink" Target="http://www.epa.gov/ttnatw01/boiler/boilerpg.html" TargetMode="External" /><Relationship Id="rId43" Type="http://schemas.openxmlformats.org/officeDocument/2006/relationships/hyperlink" Target="http://www.eia.gov/electricity/data/eia826/" TargetMode="External" /><Relationship Id="rId44" Type="http://schemas.openxmlformats.org/officeDocument/2006/relationships/hyperlink" Target="http://www.eia.gov/dnav/ng/ng_pri_sum_a_EPG0_PCS_DMcf_a.htm" TargetMode="External" /><Relationship Id="rId45" Type="http://schemas.openxmlformats.org/officeDocument/2006/relationships/hyperlink" Target="http://www.bls.gov/cpi/cpifiles/cpiai.txt" TargetMode="External" /><Relationship Id="rId46" Type="http://schemas.openxmlformats.org/officeDocument/2006/relationships/hyperlink" Target="http://rsmeans.com" TargetMode="External" /><Relationship Id="rId47" Type="http://schemas.openxmlformats.org/officeDocument/2006/relationships/hyperlink" Target="http://rsmeans.com/60305.aspx" TargetMode="External" /><Relationship Id="rId48" Type="http://schemas.openxmlformats.org/officeDocument/2006/relationships/hyperlink" Target="http://www.energystar.gov/products/spec/boilers_specification_version_3_0_pd" TargetMode="External" /><Relationship Id="rId49" Type="http://schemas.openxmlformats.org/officeDocument/2006/relationships/hyperlink" Target="http://www.west-norfolk.gov.uk/pdf/CE52.pdf" TargetMode="External" /><Relationship Id="rId5" Type="http://schemas.openxmlformats.org/officeDocument/2006/relationships/footer" Target="footer1.xml" /><Relationship Id="rId50" Type="http://schemas.openxmlformats.org/officeDocument/2006/relationships/hyperlink" Target="http://pages.stern.nyu.edu/" TargetMode="External" /><Relationship Id="rId51" Type="http://schemas.openxmlformats.org/officeDocument/2006/relationships/hyperlink" Target="http://www.federalreserve.gov/pubs/oss/oss2/scfindex.html" TargetMode="External" /><Relationship Id="rId52" Type="http://schemas.openxmlformats.org/officeDocument/2006/relationships/hyperlink" Target="http://www1.eere.energy.gov/buildings/appliance_standards/product.aspx/productid/74" TargetMode="External" /><Relationship Id="rId53" Type="http://schemas.openxmlformats.org/officeDocument/2006/relationships/hyperlink" Target="http://www.whitehouse.gov/omb/circulars_a004_a-4" TargetMode="External" /><Relationship Id="rId54" Type="http://schemas.openxmlformats.org/officeDocument/2006/relationships/hyperlink" Target="http://www.sec.gov/edgar/searchedgar/companysearch.html" TargetMode="External" /><Relationship Id="rId55" Type="http://schemas.openxmlformats.org/officeDocument/2006/relationships/hyperlink" Target="http://factfinder2.census.gov/faces/nav/jsf/pages/searchresults.xhtml?refresh=t" TargetMode="External" /><Relationship Id="rId56" Type="http://schemas.openxmlformats.org/officeDocument/2006/relationships/hyperlink" Target="http://www.hoovers.com" TargetMode="External" /><Relationship Id="rId57" Type="http://schemas.openxmlformats.org/officeDocument/2006/relationships/hyperlink" Target="https://advance.lexis.com/api/document?collection=administrative-codes&amp;id=urn:contentItem:408B-6BC0-006W-850P-00000-00&amp;context=" TargetMode="External" /><Relationship Id="rId58" Type="http://schemas.openxmlformats.org/officeDocument/2006/relationships/hyperlink" Target="http://www.epa.gov/climateleadership/inventory/ghg-emissions.html" TargetMode="External" /><Relationship Id="rId59" Type="http://schemas.openxmlformats.org/officeDocument/2006/relationships/hyperlink" Target="http://www.epa.gov/ttn/chief/ap42/index.html"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F1-NRF4-41X8-00000-00&amp;context=" TargetMode="External" /><Relationship Id="rId61" Type="http://schemas.openxmlformats.org/officeDocument/2006/relationships/hyperlink" Target="https://advance.lexis.com/api/document?collection=administrative-codes&amp;id=urn:contentItem:4G52-NHY0-006W-84D2-00000-00&amp;context=" TargetMode="External" /><Relationship Id="rId62" Type="http://schemas.openxmlformats.org/officeDocument/2006/relationships/hyperlink" Target="https://advance.lexis.com/api/document?collection=administrative-codes&amp;id=urn:contentItem:53H3-3P50-006W-84F8-00000-00&amp;context=" TargetMode="External" /><Relationship Id="rId63" Type="http://schemas.openxmlformats.org/officeDocument/2006/relationships/hyperlink" Target="https://advance.lexis.com/api/document?collection=cases&amp;id=urn:contentItem:4V71-YP60-TXFX-H3BH-00000-00&amp;context=" TargetMode="External" /><Relationship Id="rId64" Type="http://schemas.openxmlformats.org/officeDocument/2006/relationships/hyperlink" Target="https://advance.lexis.com/api/document?collection=cases&amp;id=urn:contentItem:4SYR-B9W0-TX4N-G02V-00000-00&amp;context=" TargetMode="External" /><Relationship Id="rId65" Type="http://schemas.openxmlformats.org/officeDocument/2006/relationships/hyperlink" Target="https://advance.lexis.com/api/document?collection=cases&amp;id=urn:contentItem:56CW-VP91-F04K-Y15Y-00000-00&amp;context=" TargetMode="External" /><Relationship Id="rId66" Type="http://schemas.openxmlformats.org/officeDocument/2006/relationships/hyperlink" Target="https://advance.lexis.com/api/document?collection=cases&amp;id=urn:contentItem:5C37-VGX1-F04K-F0PF-00000-00&amp;context=" TargetMode="External" /><Relationship Id="rId67" Type="http://schemas.openxmlformats.org/officeDocument/2006/relationships/hyperlink" Target="https://advance.lexis.com/api/document?collection=cases&amp;id=urn:contentItem:5GJ8-PSK1-F04K-Y0G2-00000-00&amp;context=" TargetMode="External" /><Relationship Id="rId68" Type="http://schemas.openxmlformats.org/officeDocument/2006/relationships/hyperlink" Target="https://advance.lexis.com/api/document?collection=administrative-codes&amp;id=urn:contentItem:5501-3JN0-006W-80CY-00000-00&amp;context=" TargetMode="External" /><Relationship Id="rId69" Type="http://schemas.openxmlformats.org/officeDocument/2006/relationships/hyperlink" Target="https://advance.lexis.com/api/document?collection=administrative-codes&amp;id=urn:contentItem:3SHH-HT50-006W-918M-00000-00&amp;context=" TargetMode="External" /><Relationship Id="rId7" Type="http://schemas.openxmlformats.org/officeDocument/2006/relationships/hyperlink" Target="https://advance.lexis.com/api/document?collection=administrative-codes&amp;id=urn:contentItem:5JCF-K0P0-006W-817F-00000-00&amp;context=" TargetMode="External" /><Relationship Id="rId70" Type="http://schemas.openxmlformats.org/officeDocument/2006/relationships/hyperlink" Target="http://www.whitehouse.gov/sites/default/files/omb/inforeg/for-agencies/Social-Cost-of-Carbon-for-RIA.pdf" TargetMode="External" /><Relationship Id="rId71" Type="http://schemas.openxmlformats.org/officeDocument/2006/relationships/hyperlink" Target="https://www.whitehouse.gov/blog/2015/07/02/estimating-benefits-carbon-dioxide-emissions-reductions" TargetMode="External" /><Relationship Id="rId72" Type="http://schemas.openxmlformats.org/officeDocument/2006/relationships/hyperlink" Target="http://www2.epa.gov/benmap/sector-based-pm25-benefit-ton-estimates" TargetMode="External" /><Relationship Id="rId73" Type="http://schemas.openxmlformats.org/officeDocument/2006/relationships/hyperlink" Target="https://advance.lexis.com/api/document?collection=administrative-codes&amp;id=urn:contentItem:5B5W-S8T0-006W-81R0-00000-00&amp;context=" TargetMode="External" /><Relationship Id="rId74" Type="http://schemas.openxmlformats.org/officeDocument/2006/relationships/hyperlink" Target="http://www1.eere.energy.gov/buildings/appliance_standards/implement_cert_and_enforce.html" TargetMode="External" /><Relationship Id="rId75" Type="http://schemas.openxmlformats.org/officeDocument/2006/relationships/hyperlink" Target="http://www.whitehouse.gov/omb/circulars_a004_a-4/" TargetMode="External" /><Relationship Id="rId76" Type="http://schemas.openxmlformats.org/officeDocument/2006/relationships/hyperlink" Target="https://advance.lexis.com/api/document?collection=administrative-codes&amp;id=urn:contentItem:5206-DWC0-006W-80M2-00000-00&amp;context=" TargetMode="External" /><Relationship Id="rId77" Type="http://schemas.openxmlformats.org/officeDocument/2006/relationships/hyperlink" Target="https://advance.lexis.com/api/document?collection=administrative-codes&amp;id=urn:contentItem:46HT-RP60-006W-84SH-00000-00&amp;context=" TargetMode="External" /><Relationship Id="rId78" Type="http://schemas.openxmlformats.org/officeDocument/2006/relationships/hyperlink" Target="https://advance.lexis.com/api/document?collection=administrative-codes&amp;id=urn:contentItem:47YP-2TJ0-006W-845X-00000-00&amp;context=" TargetMode="External" /><Relationship Id="rId79" Type="http://schemas.openxmlformats.org/officeDocument/2006/relationships/hyperlink" Target="http://energy.gov/gc/office-general-counsel" TargetMode="External" /><Relationship Id="rId8" Type="http://schemas.openxmlformats.org/officeDocument/2006/relationships/hyperlink" Target="https://advance.lexis.com/api/document?collection=statutes-legislation&amp;id=urn:contentItem:4YF7-GN51-NRF4-412F-00000-00&amp;context=" TargetMode="External" /><Relationship Id="rId80" Type="http://schemas.openxmlformats.org/officeDocument/2006/relationships/hyperlink" Target="http://www.ahridirectory.org/ahriDirectory/pages/home.aspx" TargetMode="External" /><Relationship Id="rId81" Type="http://schemas.openxmlformats.org/officeDocument/2006/relationships/hyperlink" Target="http://www.abma.com/" TargetMode="External" /><Relationship Id="rId82" Type="http://schemas.openxmlformats.org/officeDocument/2006/relationships/hyperlink" Target="https://advance.lexis.com/api/document?collection=administrative-codes&amp;id=urn:contentItem:5PWY-CWY0-008G-Y132-00000-00&amp;context=" TargetMode="External" /><Relationship Id="rId83" Type="http://schemas.openxmlformats.org/officeDocument/2006/relationships/hyperlink" Target="https://advance.lexis.com/api/document?collection=statutes-legislation&amp;id=urn:contentItem:4YF7-GKB1-NRF4-44FT-00000-00&amp;context=" TargetMode="External" /><Relationship Id="rId84" Type="http://schemas.openxmlformats.org/officeDocument/2006/relationships/hyperlink" Target="https://advance.lexis.com/api/document?collection=administrative-codes&amp;id=urn:contentItem:52B7-3BW0-006W-80MT-00000-00&amp;context=" TargetMode="External" /><Relationship Id="rId85" Type="http://schemas.openxmlformats.org/officeDocument/2006/relationships/hyperlink" Target="http://cxnepa.energy.gov/" TargetMode="External" /><Relationship Id="rId86" Type="http://schemas.openxmlformats.org/officeDocument/2006/relationships/hyperlink" Target="https://advance.lexis.com/api/document?collection=administrative-codes&amp;id=urn:contentItem:3X4V-NKX0-006W-833G-00000-00&amp;context=" TargetMode="External" /><Relationship Id="rId87" Type="http://schemas.openxmlformats.org/officeDocument/2006/relationships/hyperlink" Target="https://advance.lexis.com/api/document?collection=administrative-codes&amp;id=urn:contentItem:3YT4-BSC0-006W-82KB-00000-00&amp;context=" TargetMode="External" /><Relationship Id="rId88" Type="http://schemas.openxmlformats.org/officeDocument/2006/relationships/hyperlink" Target="https://advance.lexis.com/api/document?collection=statutes-legislation&amp;id=urn:contentItem:4YF7-GVX1-NRF4-40GF-00000-00&amp;context=" TargetMode="External" /><Relationship Id="rId89" Type="http://schemas.openxmlformats.org/officeDocument/2006/relationships/hyperlink" Target="https://advance.lexis.com/api/document?collection=administrative-codes&amp;id=urn:contentItem:3SHC-1750-006W-9026-00000-00&amp;context=" TargetMode="External" /><Relationship Id="rId9" Type="http://schemas.openxmlformats.org/officeDocument/2006/relationships/hyperlink" Target="https://advance.lexis.com/api/document?collection=statutes-legislation&amp;id=urn:contentItem:5CD7-HSG0-01XN-S495-00000-00&amp;context=" TargetMode="External" /><Relationship Id="rId90" Type="http://schemas.openxmlformats.org/officeDocument/2006/relationships/hyperlink" Target="https://advance.lexis.com/api/document?collection=statutes-legislation&amp;id=urn:contentItem:4YF7-GVH1-NRF4-42C8-00000-00&amp;context=" TargetMode="External" /><Relationship Id="rId91" Type="http://schemas.openxmlformats.org/officeDocument/2006/relationships/hyperlink" Target="https://advance.lexis.com/api/document?collection=statutes-legislation&amp;id=urn:contentItem:4YF7-GWP1-NRF4-4368-00000-00&amp;context=" TargetMode="External" /><Relationship Id="rId92" Type="http://schemas.openxmlformats.org/officeDocument/2006/relationships/hyperlink" Target="https://advance.lexis.com/api/document?collection=administrative-codes&amp;id=urn:contentItem:3SHB-TTS0-006W-9045-00000-00&amp;context=" TargetMode="External" /><Relationship Id="rId93" Type="http://schemas.openxmlformats.org/officeDocument/2006/relationships/hyperlink" Target="https://advance.lexis.com/api/document?collection=statutes-legislation&amp;id=urn:contentItem:4YF7-GSR1-NRF4-4023-00000-00&amp;context=" TargetMode="External" /><Relationship Id="rId94" Type="http://schemas.openxmlformats.org/officeDocument/2006/relationships/hyperlink" Target="https://advance.lexis.com/api/document?collection=administrative-codes&amp;id=urn:contentItem:3SDR-X4D0-001J-X3GV-00000-00&amp;context=" TargetMode="External" /><Relationship Id="rId95" Type="http://schemas.openxmlformats.org/officeDocument/2006/relationships/hyperlink" Target="https://advance.lexis.com/api/document?collection=statutes-legislation&amp;id=urn:contentItem:4YF7-GHY1-NRF4-409B-00000-00&amp;context=" TargetMode="External" /><Relationship Id="rId96" Type="http://schemas.openxmlformats.org/officeDocument/2006/relationships/hyperlink" Target="https://advance.lexis.com/api/document?collection=administrative-codes&amp;id=urn:contentItem:456G-VJ10-006W-84J8-00000-00&amp;context=" TargetMode="External" /><Relationship Id="rId97" Type="http://schemas.openxmlformats.org/officeDocument/2006/relationships/hyperlink" Target="https://advance.lexis.com/api/document?collection=administrative-codes&amp;id=urn:contentItem:46XX-5W60-006W-850B-00000-00&amp;context=" TargetMode="External" /><Relationship Id="rId98" Type="http://schemas.openxmlformats.org/officeDocument/2006/relationships/hyperlink" Target="https://advance.lexis.com/api/document?collection=administrative-codes&amp;id=urn:contentItem:433N-45V0-006W-82C7-00000-00&amp;context=" TargetMode="External" /><Relationship Id="rId99" Type="http://schemas.openxmlformats.org/officeDocument/2006/relationships/hyperlink" Target="http://energy.gov/eere/buildings/downloads/energy-conservation-standards-rulemaking-peer-review-repor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68158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71342422</vt:lpwstr>
  </property>
  <property fmtid="{D5CDD505-2E9C-101B-9397-08002B2CF9AE}" pid="3" name="LADocCount">
    <vt:lpwstr>1</vt:lpwstr>
  </property>
  <property fmtid="{D5CDD505-2E9C-101B-9397-08002B2CF9AE}" pid="4" name="UserPermID">
    <vt:lpwstr>urn:user:PA185916758</vt:lpwstr>
  </property>
</Properties>
</file>