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16154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058, Friday, March 25,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16154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25,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English Language Acquisition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Native American and Alaska Native Children in School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English Language Acquisition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American and Alaska Native Children in School Program 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84.365C.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22,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Libia S. Gil,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and Director for the Office of English Language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 Doc. 2016-06838 Filed 3-24-16;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March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Apply: April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July 25,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Native American and Alaska Native Children in School (NAM) program is to award grants to eligible entities to develop and enhance capacity to provide effective instruction and support to Native American students, including Native Hawaiian and Native American Pacific Islander, who are identified as English learners (ELs). The goal of this program is to support the teaching, learning, and studying of Native American languages while also increasing the English language proficiency of students served to meet challenging State academic content and achievement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previous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the NAM program has funded a range of grantees that are currently implementing 25 projects across the country. As the educational needs of Native Americans and Alaska Natives continue to grow, there is also a need to increase knowledge of what practices work to effectively improve learning outcomes for Native American and Alaska Native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in the Native American Languages Act of 1990, recognized the fundamental importance of preserving Native American languages. Congress states that it is the policy of the United States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Preserve, protect, and promote the rights and freedom of Native Americans to use, practice, and develop Native American languages.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25 U.S.C. 2903</w:t>
        </w:r>
      </w:hyperlink>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it is the policy of the United States to encourage and support the use of Native American languages as a medium of instruction in order to encourage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Native American language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educational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increased student success and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increased student awareness and knowledge of their culture and history,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increased student and community pride.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25 U.S.C. 2903</w:t>
        </w:r>
      </w:hyperlink>
      <w:r>
        <w:rPr>
          <w:rFonts w:ascii="arial" w:eastAsia="arial" w:hAnsi="arial" w:cs="arial"/>
          <w:b w:val="0"/>
          <w:i w:val="0"/>
          <w:strike w:val="0"/>
          <w:noProof w:val="0"/>
          <w:color w:val="000000"/>
          <w:position w:val="0"/>
          <w:sz w:val="20"/>
          <w:u w:val="none"/>
          <w:vertAlign w:val="baseline"/>
        </w:rPr>
        <w:t xml:space="preserv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Federal policy is supported by growing recognition of the importance </w:t>
      </w:r>
      <w:r>
        <w:rPr>
          <w:rFonts w:ascii="arial" w:eastAsia="arial" w:hAnsi="arial" w:cs="arial"/>
          <w:b/>
          <w:i w:val="0"/>
          <w:strike w:val="0"/>
          <w:noProof w:val="0"/>
          <w:color w:val="000000"/>
          <w:position w:val="0"/>
          <w:sz w:val="20"/>
          <w:u w:val="none"/>
          <w:vertAlign w:val="baseline"/>
        </w:rPr>
        <w:t> [*16155] </w:t>
      </w:r>
      <w:r>
        <w:rPr>
          <w:rFonts w:ascii="arial" w:eastAsia="arial" w:hAnsi="arial" w:cs="arial"/>
          <w:b w:val="0"/>
          <w:i w:val="0"/>
          <w:strike w:val="0"/>
          <w:noProof w:val="0"/>
          <w:color w:val="000000"/>
          <w:position w:val="0"/>
          <w:sz w:val="20"/>
          <w:u w:val="none"/>
          <w:vertAlign w:val="baseline"/>
        </w:rPr>
        <w:t xml:space="preserve"> of native language preservation in facilitating educational success for Native students. In a 2007 study by Teachers of English to Students of Other Languages (TESOL), the majority of Native youth surveyed stated that they value their native language, viewed it as integral to their sense of self, wanted to learn it, and viewed it as a means of facilitating their success in school and life. n1 Collaborative efforts between educators, families, and communities, the study suggests, may be especially promising ways to ensure that all Native students have the critical opportunity to learn their native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Romero-Little, M.E., McCarty, T.L., Warhol, L., and Zepeda, O. (2007). Language policies in practice: Preliminary findings from a large-scale study of Native American language shift. TESOL Quarterly 41:3, 607-618.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is native language instruction critical for student engagement and fostering a rich sense of self, but research has shown that students who are bilingual have certain cognitive and social benefits that their monolingual peers may lack. n2 Additionally, for students who are classified as ELs, well-implemented language instruction educational programs (as defined in this notice), including dual language approaches, may result in ELs performing equal to or better than their peers in English-only language instruction programs. These approaches have shown promise in increasing language acquisition in English and native languages, and may also promote greater achievement in the academic content areas, including English language arts and mathematics.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Valentino, R.A., and Reardon, S.F. (2015). Effectiveness of four instructional programs designed to serve English language learners: Variation by ethnicity and initial English proficiency. Educational Evaluation and Policy Analysis, doi: 10.3102/0162373715573310.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Lindholm-Leary, K.J. (2001). Dual-language education (Vol. 28). Multilingual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to facilitate high-quality language instruction and academic success for Native American students who are classified as ELs,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an absolute priority for projects that will support the preservation and revitalization of Native American languages while also increasing the English language proficiency of the children served under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also seeks to support projects designed to improve early learning and development outcomes for Native American and Alaskan Native students across one or more of the essential domains of school readiness for children from birth through third grade and throughout the early elementary school years. Accordingly, this notice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related to improving early learning and development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is interested in projects designed to improve parental, family, and community engagement. Literature suggests that educators who involve families in their students' education can strengthen their instructional effectiveness with ELs. n4 n5 Accordingly, this notice includes an invitational priority related to improving parent, family, and community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Chen, C., Kyle, D.W., and McIntyre, M. (2008). Helping teachers work effectively with English language learners and their families. The School Community Journal, 18 (1), 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Waterman, R., and Harry, B. (2008). </w:t>
      </w:r>
      <w:r>
        <w:rPr>
          <w:rFonts w:ascii="arial" w:eastAsia="arial" w:hAnsi="arial" w:cs="arial"/>
          <w:b w:val="0"/>
          <w:i/>
          <w:strike w:val="0"/>
          <w:noProof w:val="0"/>
          <w:color w:val="000000"/>
          <w:position w:val="0"/>
          <w:sz w:val="20"/>
          <w:u w:val="none"/>
          <w:vertAlign w:val="baseline"/>
        </w:rPr>
        <w:t>Building Collaboration Between Schools and Parents of English Language Learners: Transcending Barriers, Creating Opportunities.</w:t>
      </w:r>
      <w:r>
        <w:rPr>
          <w:rFonts w:ascii="arial" w:eastAsia="arial" w:hAnsi="arial" w:cs="arial"/>
          <w:b w:val="0"/>
          <w:i w:val="0"/>
          <w:strike w:val="0"/>
          <w:noProof w:val="0"/>
          <w:color w:val="000000"/>
          <w:position w:val="0"/>
          <w:sz w:val="20"/>
          <w:u w:val="none"/>
          <w:vertAlign w:val="baseline"/>
        </w:rPr>
        <w:t xml:space="preserve"> Tempe, AZ: National Center for Culturally Responsive Educational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grow the evidence available on effective ways to support Native American and Alaska Native ELs, we include a selection criterion under which applications will be evaluated on the extent to which their proposed project designs are supported by strong theory, as defined in this notice. In addition, we include a selection criterion that encourages applicants to design evaluations of their projects that would provide them with continuous, formative feedback on their progress toward their project goals.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one absolute priority,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one invitational priority. The absolute priority is from section 3128 of the Elementary and Secondary Education Act of 1965 (ESEA), as amended by the No Child Left Behind Act of 2001 (NCLB) </w:t>
      </w:r>
      <w:hyperlink r:id="rId11"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the Department's notice of final supplemental priorities and definitions for discretionary grant programs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2"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support the teaching, learning, and studying of Native American languages while also increasing the English language proficiency of the children served.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34 CFR 75.105(c)(2)(i) we award up to an additional five points to an application, depending on how well the application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Improving Early Learning and Development Outcomes (0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early learning and development outcomes across one or more of the essential domains of school readiness for children from birth through third grade (or for any age group within this range) through a focus on one or both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Increasing access to high-quality early learning and development programs and comprehensive services, particularly for children with high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Improving the coordination and alignment among early learning and development systems and between such systems and elementary education systems, including coordination and alignment in engaging and supporting families and improving transitions for children along the birth-through-third-grade continuum, in accordance with applicable privacy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34 CFR 75.105(c)(1)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Parent, Family, and Community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will support meaningful parent, family, and community engagement (as defined in this notice) to improve student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are encouraged to design a comprehensive approach to leveraging sustained partnerships (as defined in this notice) with community-based organizations, institutions of higher education (IHEs), and other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34 CFR 77.1, 34 CFR 200.6, the Supplemental Priorities, and sections 3201 and 8101 of the ESEA, as amended by the Every Student Succeeds Act (ESSA) </w:t>
      </w:r>
      <w:hyperlink r:id="rId13" w:history="1">
        <w:r>
          <w:rPr>
            <w:rFonts w:ascii="arial" w:eastAsia="arial" w:hAnsi="arial" w:cs="arial"/>
            <w:b w:val="0"/>
            <w:i/>
            <w:strike w:val="0"/>
            <w:noProof w:val="0"/>
            <w:color w:val="0077CC"/>
            <w:position w:val="0"/>
            <w:sz w:val="20"/>
            <w:u w:val="single"/>
            <w:vertAlign w:val="baseline"/>
          </w:rPr>
          <w:t>(20 U.S.C. 7011</w:t>
        </w:r>
      </w:hyperlink>
      <w:r>
        <w:rPr>
          <w:rFonts w:ascii="arial" w:eastAsia="arial" w:hAnsi="arial" w:cs="arial"/>
          <w:b w:val="0"/>
          <w:i w:val="0"/>
          <w:strike w:val="0"/>
          <w:noProof w:val="0"/>
          <w:color w:val="000000"/>
          <w:position w:val="0"/>
          <w:sz w:val="20"/>
          <w:u w:val="none"/>
          <w:vertAlign w:val="baseline"/>
        </w:rPr>
        <w:t xml:space="preserve"> and 7801), and apply to the priorities, selection criteria, and performance measures in this notice. The source of each definition is noted in parentheses following the text of the definition. </w:t>
      </w:r>
      <w:r>
        <w:rPr>
          <w:rFonts w:ascii="arial" w:eastAsia="arial" w:hAnsi="arial" w:cs="arial"/>
          <w:b/>
          <w:i w:val="0"/>
          <w:strike w:val="0"/>
          <w:noProof w:val="0"/>
          <w:color w:val="000000"/>
          <w:position w:val="0"/>
          <w:sz w:val="20"/>
          <w:u w:val="none"/>
          <w:vertAlign w:val="baseline"/>
        </w:rPr>
        <w:t> [*16156]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other individuals or entities affected by the grant, or representing a significant advancement in the field of education research, practices, or methodologies. When used to describe a performance target, whether a performance target is ambitious depends upon the context of the relevant performance measure and the baseline for that measure.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Children with high needs</w:t>
      </w:r>
      <w:r>
        <w:rPr>
          <w:rFonts w:ascii="arial" w:eastAsia="arial" w:hAnsi="arial" w:cs="arial"/>
          <w:b w:val="0"/>
          <w:i w:val="0"/>
          <w:strike w:val="0"/>
          <w:noProof w:val="0"/>
          <w:color w:val="000000"/>
          <w:position w:val="0"/>
          <w:sz w:val="20"/>
          <w:u w:val="none"/>
          <w:vertAlign w:val="baseline"/>
        </w:rPr>
        <w:t xml:space="preserve"> means children from birth through kindergarten entry who are from low-income families or otherwise in need of special assistance and support, including children who have disabilities or developmental delays; who are English learners; who reside on "Indian lands" as that term is defined by section 8013(7) of the ESEA, as amended by NCLB; who are migrant, homeless, or in foster care; and who are other children as identified by the State.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engagement</w:t>
      </w:r>
      <w:r>
        <w:rPr>
          <w:rFonts w:ascii="arial" w:eastAsia="arial" w:hAnsi="arial" w:cs="arial"/>
          <w:b w:val="0"/>
          <w:i w:val="0"/>
          <w:strike w:val="0"/>
          <w:noProof w:val="0"/>
          <w:color w:val="000000"/>
          <w:position w:val="0"/>
          <w:sz w:val="20"/>
          <w:u w:val="none"/>
          <w:vertAlign w:val="baseline"/>
        </w:rPr>
        <w:t xml:space="preserve"> means the systematic inclusion of community organizations as partners with State educational agencies (SEAs), local educational agencies (LEAs), or other educational institutions, or their school or program staff to accomplish activities that may include developing a shared community vision, establishing a shared accountability agreement, participating in shared data-collection and analysis, or establishing community networks that are focused on shared community-level outcomes. These organizations may include faith- and community-based organizations, IHEs (including minority-serving institutions eligible to receive aid under title III or title V of the Higher Education Act of 1965 (HEA)), businesses and industries, labor organizations, State and local government entities, or Federal entities other than the Department.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when used with respect to an individual, means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 is aged 3 through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is enrolled or preparing to enroll in an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Who was not born in the United States or whose native language is a language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Who is a Native American or Alaska Native, or a Native resident of the outlying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Who comes from an environment where a language other than English has had a significant impact on the individual's level of English language proficiency;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Who is migratory, whose native language is a language other than English, and who comes from an environment where a language other than English is dominant;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Whose difficulties in speaking, reading, writing, or understanding the English language may be sufficient to deny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ability to meet the State's challenging State academic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ability to successfully achieve in classrooms where the language of instruction is English;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opportunity to participate fully in society. (Section 8101 of the ESEA, as amended by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Essential domains of school readiness</w:t>
      </w:r>
      <w:r>
        <w:rPr>
          <w:rFonts w:ascii="arial" w:eastAsia="arial" w:hAnsi="arial" w:cs="arial"/>
          <w:b w:val="0"/>
          <w:i w:val="0"/>
          <w:strike w:val="0"/>
          <w:noProof w:val="0"/>
          <w:color w:val="000000"/>
          <w:position w:val="0"/>
          <w:sz w:val="20"/>
          <w:u w:val="none"/>
          <w:vertAlign w:val="baseline"/>
        </w:rPr>
        <w:t xml:space="preserve"> means the domains of language and literacy development, cognition and general knowledge (including early mathematics and early scientific development), approaches toward learning (including the utilization of the arts), physical well-being and motor development (including adaptive skills), and social and emotional development.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Language instruction educational program</w:t>
      </w:r>
      <w:r>
        <w:rPr>
          <w:rFonts w:ascii="arial" w:eastAsia="arial" w:hAnsi="arial" w:cs="arial"/>
          <w:b w:val="0"/>
          <w:i w:val="0"/>
          <w:strike w:val="0"/>
          <w:noProof w:val="0"/>
          <w:color w:val="000000"/>
          <w:position w:val="0"/>
          <w:sz w:val="20"/>
          <w:u w:val="none"/>
          <w:vertAlign w:val="baseline"/>
        </w:rPr>
        <w:t xml:space="preserve"> means an instruction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which an English learner is placed for the purpose of developing and attaining English proficiency, while meeting challenging State academic achievement standards;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may make instructional use of both English and a child's native language to enable the child to develop and attain English proficiency, and may include the participation of English proficient children if such course is designed to enable all participating children to become proficient in English and a second language. (Section 3201 of the ESEA, as amended by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 (34 CFR 77.1)</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use resources such as the Pacific Education Laboratory's Education Logic Model Application (</w:t>
      </w:r>
      <w:hyperlink r:id="rId14" w:history="1">
        <w:r>
          <w:rPr>
            <w:rFonts w:ascii="arial" w:eastAsia="arial" w:hAnsi="arial" w:cs="arial"/>
            <w:b w:val="0"/>
            <w:i/>
            <w:strike w:val="0"/>
            <w:noProof w:val="0"/>
            <w:color w:val="0077CC"/>
            <w:position w:val="0"/>
            <w:sz w:val="20"/>
            <w:u w:val="single"/>
            <w:vertAlign w:val="baseline"/>
          </w:rPr>
          <w:t>http://relpacific.mcrel.org/resources/elm-app</w:t>
        </w:r>
      </w:hyperlink>
      <w:r>
        <w:rPr>
          <w:rFonts w:ascii="arial" w:eastAsia="arial" w:hAnsi="arial" w:cs="arial"/>
          <w:b w:val="0"/>
          <w:i w:val="0"/>
          <w:strike w:val="0"/>
          <w:noProof w:val="0"/>
          <w:color w:val="000000"/>
          <w:position w:val="0"/>
          <w:sz w:val="20"/>
          <w:u w:val="none"/>
          <w:vertAlign w:val="baseline"/>
        </w:rPr>
        <w:t>) to help design their logic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Native Hawaiian or Native American Pacific Islander native language educational organization</w:t>
      </w:r>
      <w:r>
        <w:rPr>
          <w:rFonts w:ascii="arial" w:eastAsia="arial" w:hAnsi="arial" w:cs="arial"/>
          <w:b w:val="0"/>
          <w:i w:val="0"/>
          <w:strike w:val="0"/>
          <w:noProof w:val="0"/>
          <w:color w:val="000000"/>
          <w:position w:val="0"/>
          <w:sz w:val="20"/>
          <w:u w:val="none"/>
          <w:vertAlign w:val="baseline"/>
        </w:rPr>
        <w:t xml:space="preserve"> means a nonprofit organization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majority of its governing board and employees consisting of fluent speakers of the traditional Native American languages used in the organization's educational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Not less than five years successful experience in providing educational services in traditional Native American languages. (Section 3201 of the ESEA, as amended by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Parent and family engagement</w:t>
      </w:r>
      <w:r>
        <w:rPr>
          <w:rFonts w:ascii="arial" w:eastAsia="arial" w:hAnsi="arial" w:cs="arial"/>
          <w:b w:val="0"/>
          <w:i w:val="0"/>
          <w:strike w:val="0"/>
          <w:noProof w:val="0"/>
          <w:color w:val="000000"/>
          <w:position w:val="0"/>
          <w:sz w:val="20"/>
          <w:u w:val="none"/>
          <w:vertAlign w:val="baseline"/>
        </w:rPr>
        <w:t xml:space="preserve"> means the systematic inclusion of parents and families, working in partnership with SEAs, State lead agencies (under Part C of the Individuals with Disabilities Education Act or the State's Race to the Top-Early Learning Challenge grant), LEAs, or other educational institutions, or their staff, in their child's education, which may include strengthening the ability of (A) parents and families to support their child's education; and (B) school or program staff to work with parents and families.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means a level of performance that an applicant would seek to meet during the course of a project or as a result of a project.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required under section 1111(b)(3) of the ESEA, as amended by NCLB: (1) A student's score on such assessments; and, as appropriate (2) other measures of student learning, such as those described in the subsequent paragraph, provided that they are rigorous and comparable across schools within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not required under section 1111(b)(3) of the ESEA, as amended by NCLB: (1) Alternative measures of student learning and performance, such as student results on pre-tests, end-of-course tests, and objective performance-based assessments; (2) student learning objectives; (3) student performance on English language proficiency assessments; and (4) other measures of student achievement that are rigorous and comparable across schools within an LEA.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Sustained partnership</w:t>
      </w:r>
      <w:r>
        <w:rPr>
          <w:rFonts w:ascii="arial" w:eastAsia="arial" w:hAnsi="arial" w:cs="arial"/>
          <w:b w:val="0"/>
          <w:i w:val="0"/>
          <w:strike w:val="0"/>
          <w:noProof w:val="0"/>
          <w:color w:val="000000"/>
          <w:position w:val="0"/>
          <w:sz w:val="20"/>
          <w:u w:val="none"/>
          <w:vertAlign w:val="baseline"/>
        </w:rPr>
        <w:t xml:space="preserve"> means a relationship that has demonstrably adequate resources and other support to continue beyond the funding period and that consist of community organizations as partners with an LEA and one or more of its schools. These organizations may include faith- and community- </w:t>
      </w:r>
      <w:r>
        <w:rPr>
          <w:rFonts w:ascii="arial" w:eastAsia="arial" w:hAnsi="arial" w:cs="arial"/>
          <w:b/>
          <w:i w:val="0"/>
          <w:strike w:val="0"/>
          <w:noProof w:val="0"/>
          <w:color w:val="000000"/>
          <w:position w:val="0"/>
          <w:sz w:val="20"/>
          <w:u w:val="none"/>
          <w:vertAlign w:val="baseline"/>
        </w:rPr>
        <w:t> [*16157] </w:t>
      </w:r>
      <w:r>
        <w:rPr>
          <w:rFonts w:ascii="arial" w:eastAsia="arial" w:hAnsi="arial" w:cs="arial"/>
          <w:b w:val="0"/>
          <w:i w:val="0"/>
          <w:strike w:val="0"/>
          <w:noProof w:val="0"/>
          <w:color w:val="000000"/>
          <w:position w:val="0"/>
          <w:sz w:val="20"/>
          <w:u w:val="none"/>
          <w:vertAlign w:val="baseline"/>
        </w:rPr>
        <w:t xml:space="preserve"> based organizations, IHEs (including minority-serving institutions eligible to receive aid under title III or title V of the HEA), businesses and industries, labor organizations, State and local government entities, or Federal entities other than the Department. (Supplemental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20 U.S.C. 6822.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$ 3,223,778.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or later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$ 275,000-325,000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$ 300,000.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The following entities, when they operate elementary, secondary, or postsecondary schools primarily for Native American children (including Alaska Native children), are eligible applicants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Tribally sanctioned educational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Native Hawaiian or Native American Pacific Islander native language educational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Elementary schools or secondary schools that are operated or funded by the Department of the Interior's Bureau of Indian Affairs, or a consortium of these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Elementary schools or secondary schools operated under a contract with or grant from the Bureau of Indian Affairs in consortium with another such school or a tribal or community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Elementary schools or secondary schools operated by the Bureau of Indian Affairs and an IHE, in consortium with an elementary school or secondary school operated under a contract with or a grant from the Bureau of Indian Affairs or a tribal or community organization.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Eligible applicants applying as a consortium should read and follow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75.127 through 75.129.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3112(c) of the ESEA, as amended by NCLB, EL students served under NAM grants must not be included in the child count submitted by a school district under section 3114(a) for purposes of receiving funding under the English Language Acquisition State Grants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Equitable Participation by Public and Private School Students and Educational Personnel in a Title III Program:</w:t>
      </w:r>
      <w:r>
        <w:rPr>
          <w:rFonts w:ascii="arial" w:eastAsia="arial" w:hAnsi="arial" w:cs="arial"/>
          <w:b w:val="0"/>
          <w:i w:val="0"/>
          <w:strike w:val="0"/>
          <w:noProof w:val="0"/>
          <w:color w:val="000000"/>
          <w:position w:val="0"/>
          <w:sz w:val="20"/>
          <w:u w:val="none"/>
          <w:vertAlign w:val="baseline"/>
        </w:rPr>
        <w:t xml:space="preserve"> An entity that receives a grant under the NAM program must provide for the equitable participation of private school children and their teachers or other educational personnel. To ensure that grant program activities address the needs of private school children, the applicant must engage in timely and meaningful consultation with appropriate private school officials during the design and development of the program. This consultation must take place before the applicant makes any decision that affects the opportunities for participation by eligible private school children, teachers, and other educational personnel. Administrative direction and control over grant funds must remain with the grantee. (See section 9501 of the ESEA, as amended by NCLB Participation by Private School Children and Teachers.)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6"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7"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8"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84.365C.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Deadline for Notice of Intent to Apply: April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we strongly encourage each potential applicant to notify us of the applicant's intent to submit an application by emailing </w:t>
      </w:r>
      <w:hyperlink r:id="rId19" w:history="1">
        <w:r>
          <w:rPr>
            <w:rFonts w:ascii="arial" w:eastAsia="arial" w:hAnsi="arial" w:cs="arial"/>
            <w:b w:val="0"/>
            <w:i/>
            <w:strike w:val="0"/>
            <w:noProof w:val="0"/>
            <w:color w:val="0077CC"/>
            <w:position w:val="0"/>
            <w:sz w:val="20"/>
            <w:u w:val="single"/>
            <w:vertAlign w:val="baseline"/>
          </w:rPr>
          <w:t>NAM2016@ed.gov</w:t>
        </w:r>
      </w:hyperlink>
      <w:r>
        <w:rPr>
          <w:rFonts w:ascii="arial" w:eastAsia="arial" w:hAnsi="arial" w:cs="arial"/>
          <w:b w:val="0"/>
          <w:i w:val="0"/>
          <w:strike w:val="0"/>
          <w:noProof w:val="0"/>
          <w:color w:val="000000"/>
          <w:position w:val="0"/>
          <w:sz w:val="20"/>
          <w:u w:val="none"/>
          <w:vertAlign w:val="baseline"/>
        </w:rPr>
        <w:t xml:space="preserve"> with the subject line "Intent to Apply" and include in the content of the email the following information: (1) The applicant organization's name and address, and (2) whether the applicant is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the invitational priority. Applicants that do not provide notice of their intent to apply may still submit an application. Page Limit: The application narrative (Part III of the application) is where you, the applicant, address the selection criteria that reviewers use to evaluate your application. Applicants must limit the application narrative to no more than 35 pages. Applicants are also strongly encouraged not to include lengthy appendices that contain information that they were unable to include within the page limits for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Double space (no more than three lines per vertical inch) all text in the application narrative, including titles, </w:t>
      </w:r>
      <w:r>
        <w:rPr>
          <w:rFonts w:ascii="arial" w:eastAsia="arial" w:hAnsi="arial" w:cs="arial"/>
          <w:b/>
          <w:i w:val="0"/>
          <w:strike w:val="0"/>
          <w:noProof w:val="0"/>
          <w:color w:val="000000"/>
          <w:position w:val="0"/>
          <w:sz w:val="20"/>
          <w:u w:val="none"/>
          <w:vertAlign w:val="baseline"/>
        </w:rPr>
        <w:t> [*16158] </w:t>
      </w:r>
      <w:r>
        <w:rPr>
          <w:rFonts w:ascii="arial" w:eastAsia="arial" w:hAnsi="arial" w:cs="arial"/>
          <w:b w:val="0"/>
          <w:i w:val="0"/>
          <w:strike w:val="0"/>
          <w:noProof w:val="0"/>
          <w:color w:val="000000"/>
          <w:position w:val="0"/>
          <w:sz w:val="20"/>
          <w:u w:val="none"/>
          <w:vertAlign w:val="baseline"/>
        </w:rPr>
        <w:t xml:space="preserve"> charts, tables, headings, footnotes, quotations, references, and captions.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for the application does not apply to Part I, the cover sheet; Part II, the budget section, including the narrative budget justification; Part IV, the assurances and certifications; or the one-page abstract, certification of eligibility, or letters of support of project partners if applied as a consortium. However, the page limit does apply to all of the application narrative section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NAM program, your application may include business information that you consider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process followed in the prior NAM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we may post the project narrative section of funded NAM applications on the Department's Web site so you may wish to request confidentiality of business information. Identifying proprietary information in the submitted application will help facilitate this public disclosure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Deadline for Notice of Intent to Apply: April 14, 2016. Informational Meetings: We intend to hold Webinars to provide technical assistance to interested applicants. Detailed information regarding these meetings will be provided on the NAM Web site at </w:t>
      </w:r>
      <w:hyperlink r:id="rId20" w:history="1">
        <w:r>
          <w:rPr>
            <w:rFonts w:ascii="arial" w:eastAsia="arial" w:hAnsi="arial" w:cs="arial"/>
            <w:b w:val="0"/>
            <w:i/>
            <w:strike w:val="0"/>
            <w:noProof w:val="0"/>
            <w:color w:val="0077CC"/>
            <w:position w:val="0"/>
            <w:sz w:val="20"/>
            <w:u w:val="single"/>
            <w:vertAlign w:val="baseline"/>
          </w:rPr>
          <w:t>http://www2.ed.gov/about/offices/list/oela/index.html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application site.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July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1"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2"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3"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for the NAM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Electronic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NAM program, CFDA number 84.365C, must be submitted electronically using the Governmentwide Grants.gov Apply site at </w:t>
      </w:r>
      <w:hyperlink r:id="rId2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w:t>
      </w:r>
      <w:r>
        <w:rPr>
          <w:rFonts w:ascii="arial" w:eastAsia="arial" w:hAnsi="arial" w:cs="arial"/>
          <w:b/>
          <w:i w:val="0"/>
          <w:strike w:val="0"/>
          <w:noProof w:val="0"/>
          <w:color w:val="000000"/>
          <w:position w:val="0"/>
          <w:sz w:val="20"/>
          <w:u w:val="none"/>
          <w:vertAlign w:val="baseline"/>
        </w:rPr>
        <w:t> [*16159] </w:t>
      </w:r>
      <w:r>
        <w:rPr>
          <w:rFonts w:ascii="arial" w:eastAsia="arial" w:hAnsi="arial" w:cs="arial"/>
          <w:b w:val="0"/>
          <w:i w:val="0"/>
          <w:strike w:val="0"/>
          <w:noProof w:val="0"/>
          <w:color w:val="000000"/>
          <w:position w:val="0"/>
          <w:sz w:val="20"/>
          <w:u w:val="none"/>
          <w:vertAlign w:val="baseline"/>
        </w:rPr>
        <w:t xml:space="preserve">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NAM program at </w:t>
      </w:r>
      <w:hyperlink r:id="rId2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84.365, not 84.365C).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5"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6"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w:t>
      </w:r>
      <w:r>
        <w:rPr>
          <w:rFonts w:ascii="arial" w:eastAsia="arial" w:hAnsi="arial" w:cs="arial"/>
          <w:b/>
          <w:i w:val="0"/>
          <w:strike w:val="0"/>
          <w:noProof w:val="0"/>
          <w:color w:val="000000"/>
          <w:position w:val="0"/>
          <w:sz w:val="20"/>
          <w:u w:val="none"/>
          <w:vertAlign w:val="baseline"/>
        </w:rPr>
        <w:t> [*16160] </w:t>
      </w:r>
      <w:r>
        <w:rPr>
          <w:rFonts w:ascii="arial" w:eastAsia="arial" w:hAnsi="arial" w:cs="arial"/>
          <w:b w:val="0"/>
          <w:i w:val="0"/>
          <w:strike w:val="0"/>
          <w:noProof w:val="0"/>
          <w:color w:val="000000"/>
          <w:position w:val="0"/>
          <w:sz w:val="20"/>
          <w:u w:val="none"/>
          <w:vertAlign w:val="baseline"/>
        </w:rPr>
        <w:t xml:space="preserve">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Swann, U.S. Department of Education, 400 Maryland Avenue SW., Room 5C144, Washington, DC 20202-6510. FAX: (202) 260-5496.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84.365C),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84.365C),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section 75.210 of EDGAR. The maximum score for all of these criteria is 100 points (not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The maximum score for each criterion is indicated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(up to 45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design for implementing and evaluating the proposed project will result in information to guide possible replications of project activities or strategies including information about the effectiveness of the approach or strategies employed by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is supported by strong theory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 In determining the quality of project personnel,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including relevant training and experience, of key project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(up to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adequacy of the management plan to achieve the objectives of the proposed project on time and within budget, including clearly defined responsibilities, timelines, and milestones for accomplishing project tasks. </w:t>
      </w:r>
      <w:r>
        <w:rPr>
          <w:rFonts w:ascii="arial" w:eastAsia="arial" w:hAnsi="arial" w:cs="arial"/>
          <w:b/>
          <w:i w:val="0"/>
          <w:strike w:val="0"/>
          <w:noProof w:val="0"/>
          <w:color w:val="000000"/>
          <w:position w:val="0"/>
          <w:sz w:val="20"/>
          <w:u w:val="none"/>
          <w:vertAlign w:val="baseline"/>
        </w:rPr>
        <w:t> [*16161]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time commitments of the project director and the principal investigator and other key project personnel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The Department will screen applications that are submitted for NAM grants in accordance with the requirements in this notice and determine which applications meet the eligibility and other requirements. Peer reviewers will review all eligible applications for NAM grants that are submitted by the established deadline on the four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note, however, that we may screen for eligibility at multiple points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including before and after peer review; applicants that are determined to be ineligible will not receive a grant award regardless of peer reviewer scores or comments. If we determine that a NAM grant application does not meet a NAM requirement, the application will not be considered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program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7" w:history="1">
        <w:r>
          <w:rPr>
            <w:rFonts w:ascii="arial" w:eastAsia="arial" w:hAnsi="arial" w:cs="arial"/>
            <w:b w:val="0"/>
            <w:i/>
            <w:strike w:val="0"/>
            <w:noProof w:val="0"/>
            <w:color w:val="0077CC"/>
            <w:position w:val="0"/>
            <w:sz w:val="20"/>
            <w:u w:val="single"/>
            <w:vertAlign w:val="baseline"/>
          </w:rPr>
          <w:t>http://www2.ed.gov/fund/grant/apply/appforms/appforms.html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(GPRA), Federal departments and agencies must clearly describe the goals and objectives of programs, identify resources and actions needed to accomplish goals and objectives, develop a means of measuring progress made, and regularly report on achievement. One important source of program information on successes and lessons learned is the project evaluation conducted under individual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Measures.</w:t>
      </w:r>
      <w:r>
        <w:rPr>
          <w:rFonts w:ascii="arial" w:eastAsia="arial" w:hAnsi="arial" w:cs="arial"/>
          <w:b w:val="0"/>
          <w:i w:val="0"/>
          <w:strike w:val="0"/>
          <w:noProof w:val="0"/>
          <w:color w:val="000000"/>
          <w:position w:val="0"/>
          <w:sz w:val="20"/>
          <w:u w:val="none"/>
          <w:vertAlign w:val="baseline"/>
        </w:rPr>
        <w:t xml:space="preserve"> The Department has developed the following GPRA performance measures for evaluating the overall effectiveness of the NAM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1: The number and percentage of ELs served by the program who score proficient or above on the State reading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2: The number and percentage of ELs served by the program who are making progress in learning English as measured by the State-approved English language proficiency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3: The number and percentage of ELs served by the program who are attaining proficiency in English as measured by the State-approved English language proficiency assessment.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Data from local assessments are acceptable for evaluation under a performance measure only in cases in which a grantee is in a State that is undergoing an assessment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4: The number and percentage of students served by the program who are enrolled in Native American language instruction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5: The number and percentage of students making progress in learning a Native American language, as determined by each grantee, including through measures such as performance tasks, portfolios, and pre- and post-tests.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6: The number and percentage of students who are attaining proficiency in a Native American language as determined by each grantee, including through measures such as performance tasks, portfolios, and pre- and post-tests.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Measure 7: For programs that received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the number and percentage of preschool children ages three and four enrolled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Measure 8: For programs that received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the number and percentage of preschool children ages three and four who are screened for developmental or cognitive delays. </w:t>
      </w:r>
      <w:r>
        <w:rPr>
          <w:rFonts w:ascii="arial" w:eastAsia="arial" w:hAnsi="arial" w:cs="arial"/>
          <w:b/>
          <w:i w:val="0"/>
          <w:strike w:val="0"/>
          <w:noProof w:val="0"/>
          <w:color w:val="000000"/>
          <w:position w:val="0"/>
          <w:sz w:val="20"/>
          <w:u w:val="none"/>
          <w:vertAlign w:val="baseline"/>
        </w:rPr>
        <w:t> [*16162]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Measure 9: For programs that received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the number and percentage of coordination contacts between elementary schools and early learning programs to improve coordination and transition of children from preschool to kindergarten.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Baseline data.</w:t>
      </w:r>
      <w:r>
        <w:rPr>
          <w:rFonts w:ascii="arial" w:eastAsia="arial" w:hAnsi="arial" w:cs="arial"/>
          <w:b w:val="0"/>
          <w:i w:val="0"/>
          <w:strike w:val="0"/>
          <w:noProof w:val="0"/>
          <w:color w:val="000000"/>
          <w:position w:val="0"/>
          <w:sz w:val="20"/>
          <w:u w:val="none"/>
          <w:vertAlign w:val="baseline"/>
        </w:rPr>
        <w:t xml:space="preserve"> Applicants must provide baseline data for each of the GPRA performance measures listed in paragraph (a) and include why each proposed baseline (as defined in this notice) is valid; or, if the applicant has determined that there are no established baseline data for a particular performance measure, explain why there is no established baseline and explain how and when, during the project period, the applicant will establish a valid baseline for the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Performance measure targets.</w:t>
      </w:r>
      <w:r>
        <w:rPr>
          <w:rFonts w:ascii="arial" w:eastAsia="arial" w:hAnsi="arial" w:cs="arial"/>
          <w:b w:val="0"/>
          <w:i w:val="0"/>
          <w:strike w:val="0"/>
          <w:noProof w:val="0"/>
          <w:color w:val="000000"/>
          <w:position w:val="0"/>
          <w:sz w:val="20"/>
          <w:u w:val="none"/>
          <w:vertAlign w:val="baseline"/>
        </w:rPr>
        <w:t xml:space="preserve"> In addition, the applicant must propose in its application annual targets for the measures listed in paragraph (a). Applications must also include the following information as directed under 34 CFR 75.110(b)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Why each proposed performance target (as defined in this notice) is ambitious (as defined in this notice) yet achievable compared to the baseline for the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data collection and reporting methods the applicant would use and why those methods are likely to yield reliable, valid, and meaningful performance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applicant does not have experience with collection and reporting of performance data through other projects or research, the applicant should provide other evidence of capacity to successfully carry out data collection and reporting for its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Performance Reports.</w:t>
      </w:r>
      <w:r>
        <w:rPr>
          <w:rFonts w:ascii="arial" w:eastAsia="arial" w:hAnsi="arial" w:cs="arial"/>
          <w:b w:val="0"/>
          <w:i w:val="0"/>
          <w:strike w:val="0"/>
          <w:noProof w:val="0"/>
          <w:color w:val="000000"/>
          <w:position w:val="0"/>
          <w:sz w:val="20"/>
          <w:u w:val="none"/>
          <w:vertAlign w:val="baseline"/>
        </w:rPr>
        <w:t xml:space="preserve"> All grantees must submit an annual performance report and final performance report with information that is responsive to these performance measures. The Department will consider this data in making annual continuation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Department Evaluations.</w:t>
      </w:r>
      <w:r>
        <w:rPr>
          <w:rFonts w:ascii="arial" w:eastAsia="arial" w:hAnsi="arial" w:cs="arial"/>
          <w:b w:val="0"/>
          <w:i w:val="0"/>
          <w:strike w:val="0"/>
          <w:noProof w:val="0"/>
          <w:color w:val="000000"/>
          <w:position w:val="0"/>
          <w:sz w:val="20"/>
          <w:u w:val="none"/>
          <w:vertAlign w:val="baseline"/>
        </w:rPr>
        <w:t xml:space="preserve"> Consistent with 34 CFR 75.591, grantees funded under this program must comply with the requirements of any evaluation of the program conducted by the Department or an evaluator selected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Francisco Javier Lopez, U.S. Department of Education, 400 Maryland Avenue SW., Room 5E112, Washington, DC 20202. Telephone: (202) 401-4300. FAX: (202) 205-1229 or by email at </w:t>
      </w:r>
      <w:hyperlink r:id="rId19" w:history="1">
        <w:r>
          <w:rPr>
            <w:rFonts w:ascii="arial" w:eastAsia="arial" w:hAnsi="arial" w:cs="arial"/>
            <w:b w:val="0"/>
            <w:i/>
            <w:strike w:val="0"/>
            <w:noProof w:val="0"/>
            <w:color w:val="0077CC"/>
            <w:position w:val="0"/>
            <w:sz w:val="20"/>
            <w:u w:val="single"/>
            <w:vertAlign w:val="baseline"/>
          </w:rPr>
          <w:t>NAM2016@ed.gov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16154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F1-NRF4-44F2-00000-00&amp;context=" TargetMode="External" /><Relationship Id="rId11" Type="http://schemas.openxmlformats.org/officeDocument/2006/relationships/hyperlink" Target="https://advance.lexis.com/api/document?collection=statutes-legislation&amp;id=urn:contentItem:4YF7-GKS1-NRF4-432P-00000-00&amp;context=" TargetMode="External" /><Relationship Id="rId12" Type="http://schemas.openxmlformats.org/officeDocument/2006/relationships/hyperlink" Target="https://advance.lexis.com/api/document?collection=administrative-codes&amp;id=urn:contentItem:5DT7-0130-006W-81YP-00000-00&amp;context=" TargetMode="External" /><Relationship Id="rId13" Type="http://schemas.openxmlformats.org/officeDocument/2006/relationships/hyperlink" Target="https://advance.lexis.com/api/document?collection=statutes-legislation&amp;id=urn:contentItem:4YF7-GRR1-NRF4-40D2-00000-00&amp;context=" TargetMode="External" /><Relationship Id="rId14" Type="http://schemas.openxmlformats.org/officeDocument/2006/relationships/hyperlink" Target="http://relpacific.mcrel.org/resources/elm-app" TargetMode="External" /><Relationship Id="rId15" Type="http://schemas.openxmlformats.org/officeDocument/2006/relationships/hyperlink" Target="https://advance.lexis.com/api/document?collection=statutes-legislation&amp;id=urn:contentItem:4YF7-GJ51-NRF4-42R8-00000-00&amp;context=" TargetMode="External" /><Relationship Id="rId16" Type="http://schemas.openxmlformats.org/officeDocument/2006/relationships/hyperlink" Target="http://www.ed.gov/fund/grant/apply/grantapps/index.html" TargetMode="External" /><Relationship Id="rId17" Type="http://schemas.openxmlformats.org/officeDocument/2006/relationships/hyperlink" Target="http://www.EDPubs.gov" TargetMode="External" /><Relationship Id="rId18" Type="http://schemas.openxmlformats.org/officeDocument/2006/relationships/hyperlink" Target="mailto:edpubs@inet.ed.gov" TargetMode="External" /><Relationship Id="rId19" Type="http://schemas.openxmlformats.org/officeDocument/2006/relationships/hyperlink" Target="mailto:NAM2016@ed.gov" TargetMode="External" /><Relationship Id="rId2" Type="http://schemas.openxmlformats.org/officeDocument/2006/relationships/webSettings" Target="webSettings.xml" /><Relationship Id="rId20" Type="http://schemas.openxmlformats.org/officeDocument/2006/relationships/hyperlink" Target="http://www2.ed.gov/about/offices/list/oela/index.html" TargetMode="External" /><Relationship Id="rId21" Type="http://schemas.openxmlformats.org/officeDocument/2006/relationships/hyperlink" Target="http://fedgov.dnb.com/webform" TargetMode="External" /><Relationship Id="rId22" Type="http://schemas.openxmlformats.org/officeDocument/2006/relationships/hyperlink" Target="http://www.SAM.gov" TargetMode="External" /><Relationship Id="rId23" Type="http://schemas.openxmlformats.org/officeDocument/2006/relationships/hyperlink" Target="http://www.grants.gov/web/grants/register.html" TargetMode="External" /><Relationship Id="rId24" Type="http://schemas.openxmlformats.org/officeDocument/2006/relationships/hyperlink" Target="http://www.Grants.gov" TargetMode="External" /><Relationship Id="rId25" Type="http://schemas.openxmlformats.org/officeDocument/2006/relationships/hyperlink" Target="http://www.G5.gov" TargetMode="External" /><Relationship Id="rId26" Type="http://schemas.openxmlformats.org/officeDocument/2006/relationships/hyperlink" Target="http://www.grants.gov/web/grants/applicants/apply-for-grants.html" TargetMode="External" /><Relationship Id="rId27" Type="http://schemas.openxmlformats.org/officeDocument/2006/relationships/hyperlink" Target="http://www2.ed.gov/fund/grant/apply/appforms/appforms.html" TargetMode="Externa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CN-CYK0-006W-818P-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40040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71560586</vt:lpwstr>
  </property>
  <property fmtid="{D5CDD505-2E9C-101B-9397-08002B2CF9AE}" pid="3" name="LADocCount">
    <vt:lpwstr>1</vt:lpwstr>
  </property>
  <property fmtid="{D5CDD505-2E9C-101B-9397-08002B2CF9AE}" pid="4" name="UserPermID">
    <vt:lpwstr>urn:user:PA185916758</vt:lpwstr>
  </property>
</Properties>
</file>