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21808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071, Wednesday, April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21808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Priorities, Requirements, and Definitions--Disability Innovation Fund--Transition Work-Based Learning Model Demonstrations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priorities, requirements, and definitions.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ED-2016-OSERS-0022; CFDA Number: 84.421B.]</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Chapter III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Secretary for Special Education and Rehabilitative Services proposes priorities, requirements, and definitions under the Disability Innovation Fund (DIF) Program. The Assistant Secretary may use these priorities, requirements, and definitions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(FY) 2016 and later years. The Assistant Secretary takes this action to identify, develop, implement, and evaluate effective work-based learning models that will help students with disabilities prepare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models must be delivered through a coordinated system of transition services.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this notice. To ensure that your comments have maximum effect in developing the notice of final priorities, requirements, and definitions, we urge you to identify clearly the specific section of the proposed priority, requirement, or definition that each comment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you to assist us in complying with the specific requirements of Executive Orders 12866 and 13563 and their overall requirement of reducing regulatory burden that might result from these proposed priorities, requirements, and definitions. Please let us know of any further ways we could reduce potential costs or increase potential benefits while preserving the effective and efficient administration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this notice by accessing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may also inspect the comments in person in room 5057, 550 12th Street SW., PCP, Washington, DC 20202-5076, between the hours of 8:30 a.m. and 4:00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this notice.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DIF Program, as provided by the Consolidated Appropriations Act, 2015 (</w:t>
      </w:r>
      <w:hyperlink r:id="rId9"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 is to support innovative activities aimed at improving the outcomes of "individuals with disabilities," as defined in section 7(20)(A) of the Rehabilitation Act of 1973, as amended (Rehabilitation Act) (</w:t>
      </w:r>
      <w:hyperlink r:id="rId10" w:history="1">
        <w:r>
          <w:rPr>
            <w:rFonts w:ascii="arial" w:eastAsia="arial" w:hAnsi="arial" w:cs="arial"/>
            <w:b w:val="0"/>
            <w:i/>
            <w:strike w:val="0"/>
            <w:noProof w:val="0"/>
            <w:color w:val="0077CC"/>
            <w:position w:val="0"/>
            <w:sz w:val="20"/>
            <w:u w:val="single"/>
            <w:vertAlign w:val="baseline"/>
          </w:rPr>
          <w:t>29 U.S.C. 705(20)(A)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Consolidated Appropriations Act, 2015 (</w:t>
      </w:r>
      <w:hyperlink r:id="rId9" w:history="1">
        <w:r>
          <w:rPr>
            <w:rFonts w:ascii="arial" w:eastAsia="arial" w:hAnsi="arial" w:cs="arial"/>
            <w:b w:val="0"/>
            <w:i/>
            <w:strike w:val="0"/>
            <w:noProof w:val="0"/>
            <w:color w:val="0077CC"/>
            <w:position w:val="0"/>
            <w:sz w:val="20"/>
            <w:u w:val="single"/>
            <w:vertAlign w:val="baseline"/>
          </w:rPr>
          <w:t>Pub. L. 113-235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PRIORITIES:</w:t>
      </w:r>
      <w:r>
        <w:rPr>
          <w:rFonts w:ascii="arial" w:eastAsia="arial" w:hAnsi="arial" w:cs="arial"/>
          <w:b w:val="0"/>
          <w:i w:val="0"/>
          <w:strike w:val="0"/>
          <w:noProof w:val="0"/>
          <w:color w:val="000000"/>
          <w:position w:val="0"/>
          <w:sz w:val="20"/>
          <w:u w:val="none"/>
          <w:vertAlign w:val="baseline"/>
        </w:rPr>
        <w:t xml:space="preserve"> This document contains three proposed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emphasis on providing transition services under the Individuals with Disabilities Education Act (IDEA) and Rehabilitation Act, students with disabilities continue to face challenges as they transition from school to post-school activities, including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These students often have lower high school graduation rates, lower postsecondary enrollment rates, and higher unemployment rates than their peers without disabilities (Leucking &amp; Leucking,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these concerns, the Workforce Innovation and Opportunity Act of 2014 (WIOA) strengthened the emphasis on providing services and supports to students and other youth with disabilities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example, the Rehabilitation Act, as amended by WIOA, not only expands the population of students with disabilities who may receive services but also broadens the scope of services and supports that State vocational rehabilitation (VR) agencies may provide to students with disabilities who are transitioning from secondary school to postsecondary education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new section 113 of the Rehabilitation Act requires that pre-employment transition services, including work-based learning experiences, job exploration counseling, workplace readiness training, counseling on opportunities for enrollment in comprehensive transition or postsecondary educational programs at institutions of higher education, and instruction in self-advocacy, be made available to students with disabilities who are eligible or potentially eligible for services under the State VR services program. To ensure that pre-employment transition services improve outcomes for students with disabilities, State VR agencies will require models of effective interventions that can be tailored to meet the diverse needs of these students across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body of literature on transition services identifies work-based learning as a key component in improving outcomes for youth with disabilities. Work-based learning links knowledge gained through work with classroom or related instruction. Work-based learning experiences range in intensity, structure, and scope, and consist of a diverse set of activities such as site visits, job shadowing, paid and unpaid internships, and apprenticeships. Under section 113 of the Rehabilitation Act, work-based learning experiences provided to students with disabilities through the State VR services program may include in-school or after-school opportunities or experiences outside the traditional school setting, such as internships, that are provided in an integrated environment to the maximum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has shown a strong relationship between work experiences during secondary school, particularly paid employment, and post-school employment for youth with disabilities. These experiences provide exposure to a range of career options that are otherwise typically limited for youth with disabilities. Work-based learning has long been shown to improve students' self-esteem, to teach and reinforce basic academic and technical skills, to promote an understanding of workplace culture and expectations, and to develop a network for future jobs searches (Luecking,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National Collaborative on Workforce and Disability for Youth, quality work-based learning experiences are structured, appropriate to the age and stage of life of the individual, provide exposure to a wide range of work sites, and involve youth in choosing their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therefore believes that providing effective work-based learning experiences in integrated settings, with coordination among State VR agencies, State and local educational agencies, and other key partners, can improve post-school outcomes for students with disabilities. However, additional evidence is needed to identify and develop interventions and strategies that provide effective work-based learning experiences in integrated settings and the conditions and circumstances under which interventions are most effective in improving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for students with disabilities, especially the coordination of efforts with key partners that are necessary for the success of such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DIF Program, the Department has the opportunity to award cooperative agreements to identify and demonstrate work-based learning interventions for students with disabilities that are supported by evidence and will be rigorously evaluated. We believe that the best </w:t>
      </w:r>
      <w:r>
        <w:rPr>
          <w:rFonts w:ascii="arial" w:eastAsia="arial" w:hAnsi="arial" w:cs="arial"/>
          <w:b/>
          <w:i w:val="0"/>
          <w:strike w:val="0"/>
          <w:noProof w:val="0"/>
          <w:color w:val="000000"/>
          <w:position w:val="0"/>
          <w:sz w:val="20"/>
          <w:u w:val="none"/>
          <w:vertAlign w:val="baseline"/>
        </w:rPr>
        <w:t> [*21810] </w:t>
      </w:r>
      <w:r>
        <w:rPr>
          <w:rFonts w:ascii="arial" w:eastAsia="arial" w:hAnsi="arial" w:cs="arial"/>
          <w:b w:val="0"/>
          <w:i w:val="0"/>
          <w:strike w:val="0"/>
          <w:noProof w:val="0"/>
          <w:color w:val="000000"/>
          <w:position w:val="0"/>
          <w:sz w:val="20"/>
          <w:u w:val="none"/>
          <w:vertAlign w:val="baseline"/>
        </w:rPr>
        <w:t xml:space="preserve"> evidence will come from model demonstrations carried out at the local level by State VR agencies in coordination with State and local educational agencies and other local partners. The priorities, requirements, and definitions proposed in this notice will better enable the Department to direct funds to interventions that address the significant challenges in improving the post-school outcomes of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Luecking, D.M., &amp; Luecking, R.G. (2015). Translating Research into a Seamless Transition Model. Career Development and Transition for Exceptional Individuals, 38(1), 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Luecking, R.G. (2009). The Way to Work: How to Facilitate Work Experiences for Youth in Transition. Baltimore, MD: Paul H. Brookes Pub.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Collaborative on Workforce and Disability for Youth (NCWD/Youth). Work-Based Learning Jump Start. Available at: </w:t>
      </w:r>
      <w:hyperlink r:id="rId11" w:history="1">
        <w:r>
          <w:rPr>
            <w:rFonts w:ascii="arial" w:eastAsia="arial" w:hAnsi="arial" w:cs="arial"/>
            <w:b w:val="0"/>
            <w:i/>
            <w:strike w:val="0"/>
            <w:noProof w:val="0"/>
            <w:color w:val="0077CC"/>
            <w:position w:val="0"/>
            <w:sz w:val="20"/>
            <w:u w:val="single"/>
            <w:vertAlign w:val="baseline"/>
          </w:rPr>
          <w:t>www.ncwd-youth.info/work-based-learning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1: Transition Work-Based Learning Model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give priority to model demonstration projects designed to identify, develop, implement, and evaluate effective work-based learning models that will help ensure that students with disabilities (as defined in this notice) are prepared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defined in this notice). The model demonstration projects must provide effective work-based learning experiences in integrated settings, in coordination with other transition services, including pre-employment transition services (as defined in this notice), to students with disabilities, through State VR agencies, in collaboration with local educational agencies (LEAs) or, where appropriate, State educational agencies (SEAs) and other local partners.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2: Evidence of Promise Supporting the Proposed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priority to projects supported by evidence of promise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 3: Evaluation of Project that Meets the What Works Clearinghouse Evidence Standards with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priority to projects that conduct evaluations that meet the What Works Clearinghouse Evidence Standards (as defined in this notice) with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2"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2"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Requirements:</w:t>
      </w:r>
      <w:r>
        <w:rPr>
          <w:rFonts w:ascii="arial" w:eastAsia="arial" w:hAnsi="arial" w:cs="arial"/>
          <w:b w:val="0"/>
          <w:i w:val="0"/>
          <w:strike w:val="0"/>
          <w:noProof w:val="0"/>
          <w:color w:val="000000"/>
          <w:position w:val="0"/>
          <w:sz w:val="20"/>
          <w:u w:val="none"/>
          <w:vertAlign w:val="baseline"/>
        </w:rPr>
        <w:t xml:space="preserve"> The Assistant Secretary proposes the following project requirements for this program. We may apply one or more of these requirements in any year in which this program is in effect. Each of the following sets of requirements corresponds to one of the proposed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Requirements for Priority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Proposed Priority 1, applicants must describe their plans to carry out the following project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 and implement a project design that is supported by strong theory (as defined in this notice) that supports the effectiveness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evidence base) of the proposed model, its components, and the processes to improve the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of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Develop and implement a project demonstrating effective practices and strategies in the use of work-based learning experiences in integrated settings to prepare students with disabilities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The model must be implemented at multiple local sites to ensure its replicability;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Establish partnerships with the LEA or, as appropriate, the SEA, institutions of higher education, employers, and providers or other agencies that are critical to the development of work-based learning experiences in integrated settings for students with disabilities. At a minimum, the partnership must include representatives from the LEA, workforce training providers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American Job Centers), and employers who will collaborate to develop and provide opportunities (such as internships, short-term employment, and apprenticeships) for students with disabilities served under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 career exploration and counseling to assist students in identifying possible career pathways (as defined in this notice) and the relevant work-based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Develop work-based learning experiences in integrated settings, at least one of which must be a paid experience,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exposure to a wide range of work sites to help students make informed choices about career selections;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appropriate for the age and stage in life of each participating student, ranging from site visits and tours, job shadowing, service learning, apprenticeships, and internships;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Are structured and linked to classroom or related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 a trained mentor to help structure the learning at the worksite;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Include periodic assessment and feedback as part of each experience;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Fully involve students with disabilities and, as appropriate, their representative in choosing and structuring their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Provide instruction in employee rights and responsibilities, as well as positive work skills, habits, and behaviors that foster success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Identify and provide support services, as appropriate, including transportation, that are needed to ensure the student's success in participating in work-based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Identify, provide, or arrange for accommodations or assistive technology needed to ensure the student's success in participating in work-based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Develop and implement a plan to measure the model demonstration project's performance and outcomes, including an evaluation of the effectiveness of the practices and strategies implemented by the project. A detailed and complete evaluation plan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formative evaluation plan, consistent with the project's logic model (as defined in this notice),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Includes evaluation questions, source(s) for data, a timeline for data collection, and analysis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Shows how the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 implementation data will be used separately or in combination to improve </w:t>
      </w:r>
      <w:r>
        <w:rPr>
          <w:rFonts w:ascii="arial" w:eastAsia="arial" w:hAnsi="arial" w:cs="arial"/>
          <w:b/>
          <w:i w:val="0"/>
          <w:strike w:val="0"/>
          <w:noProof w:val="0"/>
          <w:color w:val="000000"/>
          <w:position w:val="0"/>
          <w:sz w:val="20"/>
          <w:u w:val="none"/>
          <w:vertAlign w:val="baseline"/>
        </w:rPr>
        <w:t> [*21811] </w:t>
      </w:r>
      <w:r>
        <w:rPr>
          <w:rFonts w:ascii="arial" w:eastAsia="arial" w:hAnsi="arial" w:cs="arial"/>
          <w:b w:val="0"/>
          <w:i w:val="0"/>
          <w:strike w:val="0"/>
          <w:noProof w:val="0"/>
          <w:color w:val="000000"/>
          <w:position w:val="0"/>
          <w:sz w:val="20"/>
          <w:u w:val="none"/>
          <w:vertAlign w:val="baseline"/>
        </w:rPr>
        <w:t xml:space="preserve"> the project during the performance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Outlines how these data will be reviewed by project staff, when they will be reviewed, and how they will be used during the course of the project to adjust the model or its implementation to increase the model's usefulness, generalizability, and potential for sustainability;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summative evaluation plan, including a timeline, to collect and analyze data on students and their outcomes over time, both for students with disabilities served by the project and for students with disabilities in a comparison group not receiving project services. The plan must show how the student outcome and implementation data collected by the project will be used separately or in combination to demonstrate the effectiveness of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Collect data necessary to evaluate the outcomes of the project, including the progress of the project in achieving its goals and outcomes, which, at a minimum,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relevant available RSA-911 Case Service Report data for each student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number of students in the work-based learning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number of students in the project who complete at least one work-based learning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number of work-based learning experiences that each student completes during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types of work-based learning experiences in which students participated;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number of students who attain a recognized post-secondary credential and the type of credentials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number of students who obtain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An unduplicated count of students who obtain a recognized postsecondary credential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Proposed Priority 1, an applicant also must provide the following with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detailed review of the literature that supports the potential effectiveness of the proposed demonstration project, its components, and strategies for work-based learning experiences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logic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applicant's plan for implementing the project, including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cohesive, articulated model of partnership and coordination among the participating agencies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coordinated set of effective practices and strategies in the use and development of work-based learning models that are aligned with employment, training, and education programs and reflect the needs of employers and students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Involve employers in the project design and in partnering with project staff to develop integrated job shadowing, internships, apprenticeships, and other paid and unpaid work-based learning experiences that are designed to increase the preparation of students with disabilities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Conduct outreach activities to identify students with disabilities for whom the work-based learning experiences would enable them to achieve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Identify innovative strategies, including development, implementation, and evaluation of approved models, methods, and measures, that will increase the preparation of students with disabilities for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the methods and criteria that will be used to select the site(s) at which the project activities will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Documentation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letter of support or draft agreement) that the State VR agency has specific agreements with its partners in the development and implementation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plan for evaluating the project's performance, including an evaluation of the effectiveness of the practices and strategies implemented by the project, in achieving project goals and objectives. Specifically, the evaluation plan must include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formative evaluation plan, consistent with the project's logic model, that includes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key questions to be addressed by the project evaluation and the appropriateness of the methods for how each question will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How the methods of evaluation will provide valid and reliable performance data on relevant outcomes (as defined in this notice), particularly postsecondary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including the source(s) for the data and the timeline for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clear and credible analysis plan, including a proposed sample size and minimum detectable effect size that aligns with the expected project impact, and an analytic approach for addressing the research questions;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How the key components of the project, as well as a measurable threshold for acceptable implementation and outcome data, will be reviewed and used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summative evaluation plan,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outcomes and implementation data collected by the project will be used, separately or in combination, to demonstrate the effectiveness of the model;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outcomes for students with disabilities served by the project will be compared with the outcomes of students with disabilities not receiving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plan for systematic dissemination of project findings, templates, resources, and knowledge gained that will assist State and local VR and educational agencies in adapting or replicating the model work-based learning demonstration developed and implemented by the project, which could include elements such as development of a Web site,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toolkits), community of practice, and participation in national and State conferences;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An assurance that the employment goal for all students served under this priority will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or supported employment (as defined in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 assurance that the project will collaborate with other work-based learning initiatives.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Requirements for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Proposed Priority 2, applicants must meet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Applicants must identify and include a detailed review of up to two cited studies that meet the evidence of promise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links for the citations submitted for this priority must be provided on the Abstract and Information page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Applicants must specify on the Abstract and Information page the findings in the studies that are cited as evidence of promise for the proposed project and ensure that the citations and links are from publicly or readily available sources. Studies of fewer than 10 pages may be attached in full under Other Attachments in Grants.gov.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Requirements for Priority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Proposed Priority 3, applicants must describe in their applications how they would meet the following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Conduct an independent evaluation (as defined in this notice) of </w:t>
      </w:r>
      <w:r>
        <w:rPr>
          <w:rFonts w:ascii="arial" w:eastAsia="arial" w:hAnsi="arial" w:cs="arial"/>
          <w:b/>
          <w:i w:val="0"/>
          <w:strike w:val="0"/>
          <w:noProof w:val="0"/>
          <w:color w:val="000000"/>
          <w:position w:val="0"/>
          <w:sz w:val="20"/>
          <w:u w:val="none"/>
          <w:vertAlign w:val="baseline"/>
        </w:rPr>
        <w:t> [*21812] </w:t>
      </w:r>
      <w:r>
        <w:rPr>
          <w:rFonts w:ascii="arial" w:eastAsia="arial" w:hAnsi="arial" w:cs="arial"/>
          <w:b w:val="0"/>
          <w:i w:val="0"/>
          <w:strike w:val="0"/>
          <w:noProof w:val="0"/>
          <w:color w:val="000000"/>
          <w:position w:val="0"/>
          <w:sz w:val="20"/>
          <w:u w:val="none"/>
          <w:vertAlign w:val="baseline"/>
        </w:rPr>
        <w:t xml:space="preserve"> its project. This evaluation must estimate the impact of the project on a relevant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methods of evaluation that will produce evidence about the project's effectiveness that meets the What Works Clearinghouse Evidence Standards with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Make broadly available the results of any evaluations it conducts of its funded activities, digitally and free of charge,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The grantee must also ensure that the data from its evaluation are made available to third-party researchers consistent with applicable privacy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Cooperate on an ongoing basis with any technical assistance provided by the Department or its contractor and comply with the requirements of any evaluation of the program conducted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one new definition for use in connection with the proposed priorities. The remaining definitions listed in this section are established defined terms in WIOA, the Rehabilitation Act, or 34 CFR part 77. We do not propose to alter those definitions, but list them here for the convenience of the reader.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Assistant Secretary proposes the following definition for this program. We may apply this definition in any year in which this program is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an evaluation that is designed and carried out independent of and external to the grantee but in coordination with any employees of the grantee who develop a process, product, strategy, or practice that is currently being implemented as part of the grant's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Career pathway</w:t>
      </w:r>
      <w:r>
        <w:rPr>
          <w:rFonts w:ascii="arial" w:eastAsia="arial" w:hAnsi="arial" w:cs="arial"/>
          <w:b w:val="0"/>
          <w:i w:val="0"/>
          <w:strike w:val="0"/>
          <w:noProof w:val="0"/>
          <w:color w:val="000000"/>
          <w:position w:val="0"/>
          <w:sz w:val="20"/>
          <w:u w:val="none"/>
          <w:vertAlign w:val="baseline"/>
        </w:rPr>
        <w:t xml:space="preserve"> means a combination of rigorous and high-quality education, training, and other services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Aligns with the skill needs of industries in the economy of the State or regional economy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Prepares an individual to be successful in any of a full range of secondary or postsecondary education options, including apprenticeships registered under the Act of August 16, 1937 (commonly known as the "National Apprenticeship Act"; </w:t>
      </w:r>
      <w:r>
        <w:rPr>
          <w:rFonts w:ascii="arial" w:eastAsia="arial" w:hAnsi="arial" w:cs="arial"/>
          <w:b w:val="0"/>
          <w:i/>
          <w:strike w:val="0"/>
          <w:noProof w:val="0"/>
          <w:color w:val="000000"/>
          <w:position w:val="0"/>
          <w:sz w:val="20"/>
          <w:u w:val="none"/>
          <w:vertAlign w:val="baseline"/>
        </w:rPr>
        <w:t>50 Stat. 664</w:t>
      </w:r>
      <w:r>
        <w:rPr>
          <w:rFonts w:ascii="arial" w:eastAsia="arial" w:hAnsi="arial" w:cs="arial"/>
          <w:b w:val="0"/>
          <w:i w:val="0"/>
          <w:strike w:val="0"/>
          <w:noProof w:val="0"/>
          <w:color w:val="000000"/>
          <w:position w:val="0"/>
          <w:sz w:val="20"/>
          <w:u w:val="none"/>
          <w:vertAlign w:val="baseline"/>
        </w:rPr>
        <w:t xml:space="preserve">, chapter 663; </w:t>
      </w:r>
      <w:hyperlink r:id="rId13"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Includes counseling to support an individual in achieving the individual's education and career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Includes, as appropriate, education offered concurrently with and in the same context as workforce preparation activities and training for a specific occupation or occupational cluster;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Organizes education, training, and other services to meet the particular needs of an individual in a manner that accelerates the educational and career advancement of the individual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Enables an individual to attain a secondary school diploma or its recognized equivalent, and at least one recognized postsecondary credential;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Helps an individual enter or advance within a specific occupation or occupational cluster.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Section 3(7) of WIOA.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integrated employment</w:t>
      </w:r>
      <w:r>
        <w:rPr>
          <w:rFonts w:ascii="arial" w:eastAsia="arial" w:hAnsi="arial" w:cs="arial"/>
          <w:b w:val="0"/>
          <w:i w:val="0"/>
          <w:strike w:val="0"/>
          <w:noProof w:val="0"/>
          <w:color w:val="000000"/>
          <w:position w:val="0"/>
          <w:sz w:val="20"/>
          <w:u w:val="none"/>
          <w:vertAlign w:val="baseline"/>
        </w:rPr>
        <w:t xml:space="preserve"> means work that is performed on a full-time or part-time basis (including self-employment)--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which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compensated at a rate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 Is not less than the higher of the rate specified in section 6(a)(1) of the Fair Labor Standards Act of 1938 (</w:t>
      </w:r>
      <w:hyperlink r:id="rId14"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or the rate specified in the applicable State or local minimum wage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not less than the customary rate paid by the employer for the same or similar work performed by other employees who are not individuals with disabilities, and who are similarly situated in similar occupations by the same employer and who have similar training, experience, and skills;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the case of an individual who is self-employed, yields an income that is comparable to the income received by other individuals who are not individuals with disabilities, and who are self-employed in similar occupations or on similar tasks and who have similar training, experience, and skills;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eligible for the level of benefits provided to other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is at a location where the employee interacts with other persons who are not individuals with disabilities (not including supervisory personnel or individuals who are providing services to such employee) to the same extent that individuals who are not individuals with disabilities and who are in comparable positions interact with other persons;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as appropriate, presents opportunities for advancement that are similar to those for other employees who are not individuals with disabilities and who have similar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Section 7(5)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Customized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an individual with a significant disability, that is based on an individualized determination of the strengths, needs, and interests of the individual with a significant disability, is designed to meet the specific disabilities of the individual with a significant disability and the business needs of the employer, and is carried out through flexible strategies,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Job exploration by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Working with an employer to facilitate placement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Customizing a job description based on current employer needs or on previously unidentified and unmet employer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Developing a set of job duties, a work schedule and job arrangement, and specifics of supervision (including performance evaluation and review), and determining a job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Representation by a professional chosen by the individual, or self-representation of the individual, in working with an employer to facilitate placement;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Providing services and supports at the job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Section 7(7)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 individual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Has a physical or mental impairment which for such individual constitutes or results in a substantial impediment to employment; and </w:t>
      </w:r>
      <w:r>
        <w:rPr>
          <w:rFonts w:ascii="arial" w:eastAsia="arial" w:hAnsi="arial" w:cs="arial"/>
          <w:b/>
          <w:i w:val="0"/>
          <w:strike w:val="0"/>
          <w:noProof w:val="0"/>
          <w:color w:val="000000"/>
          <w:position w:val="0"/>
          <w:sz w:val="20"/>
          <w:u w:val="none"/>
          <w:vertAlign w:val="baseline"/>
        </w:rPr>
        <w:t> [*21813]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 benefit in terms of an employment outcome from vocational rehabilitation services provided pursuant to Title I, III, or VI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Section 7(20)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Pre-employment transition services</w:t>
      </w:r>
      <w:r>
        <w:rPr>
          <w:rFonts w:ascii="arial" w:eastAsia="arial" w:hAnsi="arial" w:cs="arial"/>
          <w:b w:val="0"/>
          <w:i w:val="0"/>
          <w:strike w:val="0"/>
          <w:noProof w:val="0"/>
          <w:color w:val="000000"/>
          <w:position w:val="0"/>
          <w:sz w:val="20"/>
          <w:u w:val="none"/>
          <w:vertAlign w:val="baseline"/>
        </w:rPr>
        <w:t xml:space="preserve"> means services provided in accordance with section 113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Sections 7(30) and 113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with a disability</w:t>
      </w:r>
      <w:r>
        <w:rPr>
          <w:rFonts w:ascii="arial" w:eastAsia="arial" w:hAnsi="arial" w:cs="arial"/>
          <w:b w:val="0"/>
          <w:i w:val="0"/>
          <w:strike w:val="0"/>
          <w:noProof w:val="0"/>
          <w:color w:val="000000"/>
          <w:position w:val="0"/>
          <w:sz w:val="20"/>
          <w:u w:val="none"/>
          <w:vertAlign w:val="baseline"/>
        </w:rPr>
        <w:t xml:space="preserve"> means an individual with a disability who--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Is not younger than the earliest age for the provision of transition services under section 614(d)(1)(A)(i)(VIII) of the Individuals with Disabilities Education Act (</w:t>
      </w:r>
      <w:hyperlink r:id="rId16" w:history="1">
        <w:r>
          <w:rPr>
            <w:rFonts w:ascii="arial" w:eastAsia="arial" w:hAnsi="arial" w:cs="arial"/>
            <w:b w:val="0"/>
            <w:i/>
            <w:strike w:val="0"/>
            <w:noProof w:val="0"/>
            <w:color w:val="0077CC"/>
            <w:position w:val="0"/>
            <w:sz w:val="20"/>
            <w:u w:val="single"/>
            <w:vertAlign w:val="baseline"/>
          </w:rPr>
          <w:t>20 U.S.C. 1414(d)(1)(A)(i)</w:t>
        </w:r>
      </w:hyperlink>
      <w:r>
        <w:rPr>
          <w:rFonts w:ascii="arial" w:eastAsia="arial" w:hAnsi="arial" w:cs="arial"/>
          <w:b w:val="0"/>
          <w:i w:val="0"/>
          <w:strike w:val="0"/>
          <w:noProof w:val="0"/>
          <w:color w:val="000000"/>
          <w:position w:val="0"/>
          <w:sz w:val="20"/>
          <w:u w:val="none"/>
          <w:vertAlign w:val="baseline"/>
        </w:rPr>
        <w:t>(VIII));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State involved elects to use a lower minimum age for receipt of pre-employment transition services under the Rehabilitation Act, is not younger than that minimum 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(B)(1) Is not older than 21 years of age;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State law for the State provides for a higher maximum age for receipt of services under the Individuals with Disabilities Education Act (</w:t>
      </w:r>
      <w:hyperlink r:id="rId1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older than that maximum age;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Is eligible for, and receiving, special education or related services under Part B of the Individuals with Disabilities Education Act (</w:t>
      </w:r>
      <w:hyperlink r:id="rId18" w:history="1">
        <w:r>
          <w:rPr>
            <w:rFonts w:ascii="arial" w:eastAsia="arial" w:hAnsi="arial" w:cs="arial"/>
            <w:b w:val="0"/>
            <w:i/>
            <w:strike w:val="0"/>
            <w:noProof w:val="0"/>
            <w:color w:val="0077CC"/>
            <w:position w:val="0"/>
            <w:sz w:val="20"/>
            <w:u w:val="single"/>
            <w:vertAlign w:val="baseline"/>
          </w:rPr>
          <w:t>20 U.S.C. 1411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a student who is an individual with a disability, for purposes of section 504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Section 7(37)(A) of the Rehabilitation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Supported employment</w:t>
      </w:r>
      <w:r>
        <w:rPr>
          <w:rFonts w:ascii="arial" w:eastAsia="arial" w:hAnsi="arial" w:cs="arial"/>
          <w:b w:val="0"/>
          <w:i w:val="0"/>
          <w:strike w:val="0"/>
          <w:noProof w:val="0"/>
          <w:color w:val="000000"/>
          <w:position w:val="0"/>
          <w:sz w:val="20"/>
          <w:u w:val="none"/>
          <w:vertAlign w:val="baseline"/>
        </w:rPr>
        <w:t xml:space="preserve"> means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including customized employment, or employment in an integrated work setting in which individuals are working on a short-term basis toward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is individualized and customized consistent with the strengths, abilities, interests, and informed choice of the individuals involved, for individuals with the most significant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not historically occurred;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For whom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has been interrupted or intermittent as a result of a significant disability;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because of the nature and severity of their disability, need intensive supported employment services and extended services after the transition described in section (7)(13)(C) of the Rehabilitation Act, in order to perform the work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Section 7(38) of the Rehabilitation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9"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5"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Priorities, Requirements,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announce the final priorities, requirements, and definitions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will determine the final priorities, requirements, and definitions after considering responses to this notice and other information available to the Department. 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one or more of these priorities, requirements, and definitions,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proposed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w:t>
      </w:r>
      <w:r>
        <w:rPr>
          <w:rFonts w:ascii="arial" w:eastAsia="arial" w:hAnsi="arial" w:cs="arial"/>
          <w:b/>
          <w:i w:val="0"/>
          <w:strike w:val="0"/>
          <w:noProof w:val="0"/>
          <w:color w:val="000000"/>
          <w:position w:val="0"/>
          <w:sz w:val="20"/>
          <w:u w:val="none"/>
          <w:vertAlign w:val="baseline"/>
        </w:rPr>
        <w:t> [*21814] </w:t>
      </w:r>
      <w:r>
        <w:rPr>
          <w:rFonts w:ascii="arial" w:eastAsia="arial" w:hAnsi="arial" w:cs="arial"/>
          <w:b w:val="0"/>
          <w:i w:val="0"/>
          <w:strike w:val="0"/>
          <w:noProof w:val="0"/>
          <w:color w:val="000000"/>
          <w:position w:val="0"/>
          <w:sz w:val="20"/>
          <w:u w:val="none"/>
          <w:vertAlign w:val="baseline"/>
        </w:rPr>
        <w:t xml:space="preserve">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these proposed priorities, requirements, and definitions only on a reasoned determination that their benefits would justify their costs. In choosing among alternative regulatory approaches, we selected those approaches that would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similar demonstration projects have been well established over the years through the successful completion and dissemination of the results of similar projects. For example, the projects first funded in FY 2007 to demonstrate collaborative practices that lead to postsecondary education and employment of youth with disabilities have served as a rich source of practices for the VR field. These proposed priorities, requirements, and definitions would promote projects that would serve as models in developing and implementing work-based learning strategies for students with disabilities that could be replicated by other State VR agencies so that such agencies could improve postsecondary education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for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20"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priorities contain information collection requirements that are approved by OMB under the Disability Innovation Fund program--Transition Work-Based Learning Model Demonstrations 1820-0018;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affect the currently approved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2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2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2016-08492 Filed 4-12-16;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We must receive your comments on or before May 13,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by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the "Help" tab.</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RoseAnn Ashby, U.S. Department of Education, 400 Maryland Avenue SW., Room 5057, Potomac Center Plaza (PCP), Washington, DC 20202-5076.</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U.S. Department of Education's (Department) policy is to make all comments received from members of the public available for public viewing in their entirety on the Federal eRulemaking Portal at </w:t>
      </w:r>
      <w:r>
        <w:rPr>
          <w:rFonts w:ascii="arial" w:eastAsia="arial" w:hAnsi="arial" w:cs="arial"/>
          <w:b/>
          <w:i w:val="0"/>
          <w:strike w:val="0"/>
          <w:noProof w:val="0"/>
          <w:color w:val="000000"/>
          <w:position w:val="0"/>
          <w:sz w:val="20"/>
          <w:u w:val="none"/>
          <w:vertAlign w:val="baseline"/>
        </w:rPr>
        <w:t> [*21809]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RoseAnn Ashby, telephone: (202) 245-7258, or by email: </w:t>
      </w:r>
      <w:hyperlink r:id="rId23" w:history="1">
        <w:r>
          <w:rPr>
            <w:rFonts w:ascii="arial" w:eastAsia="arial" w:hAnsi="arial" w:cs="arial"/>
            <w:b w:val="0"/>
            <w:i/>
            <w:strike w:val="0"/>
            <w:noProof w:val="0"/>
            <w:color w:val="0077CC"/>
            <w:position w:val="0"/>
            <w:sz w:val="20"/>
            <w:u w:val="single"/>
            <w:vertAlign w:val="baseline"/>
          </w:rPr>
          <w:t>roseann.ashby@ed.gov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21808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F1-NRF4-429W-00000-00&amp;context=" TargetMode="External" /><Relationship Id="rId11" Type="http://schemas.openxmlformats.org/officeDocument/2006/relationships/hyperlink" Target="http://www.ncwd-youth.info/work-based-learning"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statutes-legislation&amp;id=urn:contentItem:4YF7-GPH1-NRF4-44J5-00000-00&amp;context=" TargetMode="External" /><Relationship Id="rId14" Type="http://schemas.openxmlformats.org/officeDocument/2006/relationships/hyperlink" Target="https://advance.lexis.com/api/document?collection=statutes-legislation&amp;id=urn:contentItem:4YF7-GVG1-NRF4-41RN-00000-00&amp;context=" TargetMode="External" /><Relationship Id="rId15" Type="http://schemas.openxmlformats.org/officeDocument/2006/relationships/hyperlink" Target="https://advance.lexis.com/api/document?collection=administrative-codes&amp;id=urn:contentItem:5S7T-7HV0-008H-03HM-00000-00&amp;context=" TargetMode="External" /><Relationship Id="rId16" Type="http://schemas.openxmlformats.org/officeDocument/2006/relationships/hyperlink" Target="https://advance.lexis.com/api/document?collection=statutes-legislation&amp;id=urn:contentItem:4YF7-GST1-NRF4-40TT-00000-00&amp;context=" TargetMode="External" /><Relationship Id="rId17" Type="http://schemas.openxmlformats.org/officeDocument/2006/relationships/hyperlink" Target="https://advance.lexis.com/api/document?collection=statutes-legislation&amp;id=urn:contentItem:4YF7-GNB1-NRF4-4325-00000-00&amp;context=" TargetMode="External" /><Relationship Id="rId18" Type="http://schemas.openxmlformats.org/officeDocument/2006/relationships/hyperlink" Target="https://advance.lexis.com/api/document?collection=statutes-legislation&amp;id=urn:contentItem:4YF7-GVM1-NRF4-43R5-00000-00&amp;context=" TargetMode="External" /><Relationship Id="rId19" Type="http://schemas.openxmlformats.org/officeDocument/2006/relationships/hyperlink" Target="http://ies.ed.gov/ncee/wwc/DocumentSum.aspx?sid=19"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W1-NRF4-407J-00000-00&amp;context=" TargetMode="External" /><Relationship Id="rId21" Type="http://schemas.openxmlformats.org/officeDocument/2006/relationships/hyperlink" Target="http://www.gpo.gov/fdsys" TargetMode="External" /><Relationship Id="rId22" Type="http://schemas.openxmlformats.org/officeDocument/2006/relationships/hyperlink" Target="http://www.federalregister.gov" TargetMode="External" /><Relationship Id="rId23" Type="http://schemas.openxmlformats.org/officeDocument/2006/relationships/hyperlink" Target="mailto:roseann.ashby@ed.gov"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HP-NXH0-006W-83CS-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s://advance.lexis.com/api/document?collection=statutes-legislation&amp;id=urn:contentItem:5RW6-6GD0-0019-T3N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32306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