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22344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073, Friday, April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22344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April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Amend Nasdaq Rule 7039</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34-77578; File No. SR-NASDAQ-2016-048]</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April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March 31, 2016, The NASDAQ Stock Market LLC ("Nasdaq" or the "Exchange") filed with the Securities and Exchange Commission ("SEC" or "Commission") a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is proposing changes to amend Nasdaq Rule 7039 (NASDAQ Last Sale and NASDAQ Last Sale Plus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w:t>
      </w:r>
      <w:r>
        <w:rPr>
          <w:rFonts w:ascii="arial" w:eastAsia="arial" w:hAnsi="arial" w:cs="arial"/>
          <w:b w:val="0"/>
          <w:i/>
          <w:strike w:val="0"/>
          <w:noProof w:val="0"/>
          <w:color w:val="000000"/>
          <w:position w:val="0"/>
          <w:sz w:val="20"/>
          <w:u w:val="none"/>
          <w:vertAlign w:val="baseline"/>
        </w:rPr>
        <w:t>nasdaq.cchwallstreet.com,</w:t>
      </w:r>
      <w:r>
        <w:rPr>
          <w:rFonts w:ascii="arial" w:eastAsia="arial" w:hAnsi="arial" w:cs="arial"/>
          <w:b w:val="0"/>
          <w:i w:val="0"/>
          <w:strike w:val="0"/>
          <w:noProof w:val="0"/>
          <w:color w:val="000000"/>
          <w:position w:val="0"/>
          <w:sz w:val="20"/>
          <w:u w:val="none"/>
          <w:vertAlign w:val="baseline"/>
        </w:rPr>
        <w:t xml:space="preserve"> at Nasdaq's principal office,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Nasdaq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Nasdaq Rule 7039 (NASDAQ Last Sale and NASDAQ Last Sale Plus Data Feeds). Nasdaq offers two proprietary data feeds containing real-time last sale information for trades executed on Nasdaq or reported to the Nasdaq/FINRA Trade Reporting Facility. These include the "NASDAQ Last Sale for NASDAQ," n3 which contains all transaction reports for Nasdaq-listed stocks and "NASDAQ Last Sale for NYSE/NYSE MKT," n4 which contains all such transaction reports for NYSE- and NYSE MKT-listed stocks (collectively, the "Nasdaq Last Sale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7039(a)(1).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7039(a)(2).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Nasdaq proposes to amend Nasdaq Rule 7039(b) to reduce the monthly fee from $ 50,000 to $ 41,500 for each distributor of Nasdaq Last Sale Data Feeds. The new lower fee is designed to incentivize distributors to subscribe to the Nasdaq Last Sale Data Feeds. This fee is exclusive of the $ 1,500 monthly fee that all distributors of a Nasdaq Last Sale Data Feed must also pay and that is set forth under Nasdaq Rule 7039(c).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n5 in general, and furthers the objectives of Sections 6(b)(4) and 6(b)(5) of the Act, n6 in particular, in that it provides for the equitable allocation of reasonable dues, fees and other charges among members and issuers and other persons using its facilities which the Exchange operates or controls,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0"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0"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Securities Exchange Act Release No. 34-51808 (June 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n8 ("NetCoalition") the D.C. Circuit upheld the Commission's use of a market-based </w:t>
      </w:r>
      <w:r>
        <w:rPr>
          <w:rFonts w:ascii="arial" w:eastAsia="arial" w:hAnsi="arial" w:cs="arial"/>
          <w:b/>
          <w:i w:val="0"/>
          <w:strike w:val="0"/>
          <w:noProof w:val="0"/>
          <w:color w:val="000000"/>
          <w:position w:val="0"/>
          <w:sz w:val="20"/>
          <w:u w:val="none"/>
          <w:vertAlign w:val="baseline"/>
        </w:rPr>
        <w:t> [*22345] </w:t>
      </w:r>
      <w:r>
        <w:rPr>
          <w:rFonts w:ascii="arial" w:eastAsia="arial" w:hAnsi="arial" w:cs="arial"/>
          <w:b w:val="0"/>
          <w:i w:val="0"/>
          <w:strike w:val="0"/>
          <w:noProof w:val="0"/>
          <w:color w:val="000000"/>
          <w:position w:val="0"/>
          <w:sz w:val="20"/>
          <w:u w:val="none"/>
          <w:vertAlign w:val="baseline"/>
        </w:rPr>
        <w:t xml:space="preserve"> approach in evaluating the fairness of market data fees against a challenge claiming that Congress mandated a cost-based approach. n9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1"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1" w:history="1">
        <w:r>
          <w:rPr>
            <w:rFonts w:ascii="arial" w:eastAsia="arial" w:hAnsi="arial" w:cs="arial"/>
            <w:b w:val="0"/>
            <w:i/>
            <w:strike w:val="0"/>
            <w:noProof w:val="0"/>
            <w:color w:val="0077CC"/>
            <w:position w:val="0"/>
            <w:sz w:val="20"/>
            <w:u w:val="single"/>
            <w:vertAlign w:val="baseline"/>
          </w:rPr>
          <w:t>Id. at 534-535.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1"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1"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ArcaBook Order, 73 FR at 74782-74783).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amending Nasdaq Rule 7039(b) to reduce the monthly maximum fee from $ 50,000 to $ 41,500 for each distributor of Nasdaq Last Sale Data Feeds (exclusive of the $ 1,500 monthly fee applicable to all distributors of a Nasdaq Last Sale Data Feed under Nasdaq Rule 7039(c)) is reasonable because Nasdaq believes it will incentivize more distributors to subscribe to the Nasdaq Last Sale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believes that the proposed rule fee change is an equitable allocation and is not unfairly discriminatory because the Exchange will apply the new lower fee uniformly across all distributors of Nasdaq Last Sale Data Feeds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Notwithstanding its determination that the Commission may rely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establish fair and equitably allocated fees for market data,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court found that the Commission had not, in that case, compiled a record that adequately supported its conclusion that the market for the data at issue in the case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Nasdaq believes that a record may readily be established to demonstrate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platforms that provide transaction execution and routing services and proprietary data products. Transaction execution and proprietary data products are complementary in that market data is both an input and a byproduct of the execution service. In fact, market data and trade execution are a paradigmatic example of joint products with joint costs. Data products are valuable to many end Subscribers only insofar as they provide information that end Subscribers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an exchange's customers view the costs of transaction executions and of data as a unified cost of doing business with the exchange. A broker-dealer ("BD") will direct orders to a particular exchange only if the expected revenues from executing trades on the exchange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orders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an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n12 However,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Similarly,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distribution in isolation from the cost of all of the inputs supporting the creation of market data will inevitably underestimate the cost of the data. Thus, because it is impossible to create data without a fast, technologically robust, and well-regulated execution system, system costs and regulatory costs affect the price of market data. It would be equally misleading, however, to attribute all of the exchange's costs to the market data portion of an exchange's joint product. Rather,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Nasdaq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w:t>
      </w:r>
      <w:r>
        <w:rPr>
          <w:rFonts w:ascii="arial" w:eastAsia="arial" w:hAnsi="arial" w:cs="arial"/>
          <w:b/>
          <w:i w:val="0"/>
          <w:strike w:val="0"/>
          <w:noProof w:val="0"/>
          <w:color w:val="000000"/>
          <w:position w:val="0"/>
          <w:sz w:val="20"/>
          <w:u w:val="none"/>
          <w:vertAlign w:val="baseline"/>
        </w:rPr>
        <w:t> [*22346] </w:t>
      </w:r>
      <w:r>
        <w:rPr>
          <w:rFonts w:ascii="arial" w:eastAsia="arial" w:hAnsi="arial" w:cs="arial"/>
          <w:b w:val="0"/>
          <w:i w:val="0"/>
          <w:strike w:val="0"/>
          <w:noProof w:val="0"/>
          <w:color w:val="000000"/>
          <w:position w:val="0"/>
          <w:sz w:val="20"/>
          <w:u w:val="none"/>
          <w:vertAlign w:val="baseline"/>
        </w:rPr>
        <w:t xml:space="preserve">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an SRO proprietary product, and/or a non-SRO proprietary product, the data available in proprietary products is exponentially greater than the actual number of orders and transaction reports that exist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TRFs, the rapid entry of several exchanges into this space in 2006-2007 following the development and Commission approval of the TRF structure demonstrates the contestability of this aspect of the market. n14 Given the demand for trade reporting services that is itself a by-product of the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transaction executions--characterized notably by a proliferation of ATSs and BDs offering internalization--any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associated with trade reporting or TRF data would shift trade report volumes from one of the existing TRFs to the other n15 and create incentives for other TRF operators to enter the space. Alternatively, because BDs reporting to TRFs are themselves free to consolidate the market data that they report, the market for over-the-counter data itself, separate and apart from the markets for execution and trade reporting services--is fully contestable.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low cost exit of two TRFs from the market is also evidence of a contestable market, because new entrants are reluctant to enter a market where exit may involve substantial shut-down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It should be noted that the FINRA/NYSE TRF has, in recent weeks, received reports for almost 10% of all over-the-counter volume in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consolidated data provides two additional measures of pricing discipline for proprietary data products that are a subset of the consolidated data stream. First, the consolidated data is widely available in real-time at $ 1 per month for non-professional users. Second, consolidated data is also available at no cost with a 15- or 20-minute delay. Because consolidated data contains marketwide information, it effectively places a cap on the fees assessed for proprietary data (such as last sale data) that is simply a subset of the consolidated data. The mere availability of low-cost or free consolidated data provides a powerful form of pricing discipline for proprietary data products that contain data elements that are a subset of the consolidated data, by highlighting the optional nature of proprietary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instance, the Exchange believes that amending Nasdaq Rule 7039(b) to reduce the monthly maximum fee from $ 50,000 to $ 41,500 for each distributor of Nasdaq Last Sale Data Feeds (exclusive of the $ 1,500 monthly fee that all distributors of a Nasdaq Last Sale Data Feed must also pay and that is set forth under Nasdaq Rule 7039(c)) does not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may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making this a more affordable option for distributors. Accordingly, the Exchange does not believe that the proposed change will impair the ability of members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order execution venues to maintain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standing in the financial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were neither solicited nor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foregoing change has become effective pursuant to Section 19(b)(3)(A)(ii) of the Act. n16 At any time within 60 days of the filing of the </w:t>
      </w:r>
      <w:r>
        <w:rPr>
          <w:rFonts w:ascii="arial" w:eastAsia="arial" w:hAnsi="arial" w:cs="arial"/>
          <w:b/>
          <w:i w:val="0"/>
          <w:strike w:val="0"/>
          <w:noProof w:val="0"/>
          <w:color w:val="000000"/>
          <w:position w:val="0"/>
          <w:sz w:val="20"/>
          <w:u w:val="none"/>
          <w:vertAlign w:val="baseline"/>
        </w:rPr>
        <w:t> [*22347] </w:t>
      </w:r>
      <w:r>
        <w:rPr>
          <w:rFonts w:ascii="arial" w:eastAsia="arial" w:hAnsi="arial" w:cs="arial"/>
          <w:b w:val="0"/>
          <w:i w:val="0"/>
          <w:strike w:val="0"/>
          <w:noProof w:val="0"/>
          <w:color w:val="000000"/>
          <w:position w:val="0"/>
          <w:sz w:val="20"/>
          <w:u w:val="none"/>
          <w:vertAlign w:val="baseline"/>
        </w:rPr>
        <w:t xml:space="preserv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SR-NASDAQ-2016-048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SR-NASDAQ-2016-048. This file number should be included on the subject line if email is used. To help the Commission process and review your comments more efficiently, please use only one method. The Commission will post all comments on the Commission's Internet Web site (</w:t>
      </w:r>
      <w:hyperlink r:id="rId1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SR-NASDAQ-2016-048, and should be submitted on or before May 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2016-08643 Filed 4-14-16;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22344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C1-NRF4-4309-00000-00&amp;context=" TargetMode="External" /><Relationship Id="rId11" Type="http://schemas.openxmlformats.org/officeDocument/2006/relationships/hyperlink" Target="https://advance.lexis.com/api/document?collection=cases&amp;id=urn:contentItem:803V-DT30-YB0V-T01B-00000-00&amp;context=" TargetMode="External" /><Relationship Id="rId12" Type="http://schemas.openxmlformats.org/officeDocument/2006/relationships/hyperlink" Target="http://www.cinnober.com/boat-trade-reporting" TargetMode="External" /><Relationship Id="rId13" Type="http://schemas.openxmlformats.org/officeDocument/2006/relationships/hyperlink" Target="http://www.sec.gov/rules/sro.shtml" TargetMode="External" /><Relationship Id="rId14" Type="http://schemas.openxmlformats.org/officeDocument/2006/relationships/hyperlink" Target="mailto:rule-comments@sec.gov" TargetMode="External" /><Relationship Id="rId15" Type="http://schemas.openxmlformats.org/officeDocument/2006/relationships/hyperlink" Target="https://advance.lexis.com/api/document?collection=administrative-codes&amp;id=urn:contentItem:5SPP-2120-008G-Y2ND-00000-00&amp;context=" TargetMode="Externa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J4-H5B0-006W-83VJ-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4469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