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23683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078, Friday, April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23683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Magnet Schools Assistance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Magnet Schools Assistance Program (MSAP)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84.165A.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TTY, call the FRS,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2016-09437 Filed 4-21-16;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May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MSAP provides grants to eligible local educational agencies (LEAs) and consortia of LEAs to support magnet schools under an approved, required or voluntary, desegregation plan. By supporting the development and implementation of magnet schools that reduce, eliminate, or prevent minority group isolation, these program resources can be used in pursuit of the objectives of the Elementary and Secondary Education Act of 1965, as amended (ESEA), which supports State and local efforts to enable all elementary and </w:t>
      </w:r>
      <w:r>
        <w:rPr>
          <w:rFonts w:ascii="arial" w:eastAsia="arial" w:hAnsi="arial" w:cs="arial"/>
          <w:b/>
          <w:i w:val="0"/>
          <w:strike w:val="0"/>
          <w:noProof w:val="0"/>
          <w:color w:val="000000"/>
          <w:position w:val="0"/>
          <w:sz w:val="20"/>
          <w:u w:val="none"/>
          <w:vertAlign w:val="baseline"/>
        </w:rPr>
        <w:t> [*23684] </w:t>
      </w:r>
      <w:r>
        <w:rPr>
          <w:rFonts w:ascii="arial" w:eastAsia="arial" w:hAnsi="arial" w:cs="arial"/>
          <w:b w:val="0"/>
          <w:i w:val="0"/>
          <w:strike w:val="0"/>
          <w:noProof w:val="0"/>
          <w:color w:val="000000"/>
          <w:position w:val="0"/>
          <w:sz w:val="20"/>
          <w:u w:val="none"/>
          <w:vertAlign w:val="baseline"/>
        </w:rPr>
        <w:t xml:space="preserve"> secondary school students to achieve high standards. In particular, the MSAP provides an opportunity for eligible entities to provide students from varied backgrounds with the educational benefits of diversity and equitable access to a high-quality education that will enable all students to succeed academically.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This background section highlights some design changes in the FY 2016 MSAP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Despite the potential benefits associated with integration, institutional and contextual barriers often prevent LEAs from integrating their schools in meaningful and impactful ways. Past experience has shown that these barriers often negatively impact schools that receive MSAP funding, shrinking the impact of the implemented services. As such, we have revised the program's selection criteria to place an increased emphasis on desegregation-related activities (including a selection criterion specifically related to desegregation), and a renewed focus on academic rigor.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includes a new focus on the use of evidence. These shifts bring MSAP into greater alignment with the Every Student Succeeds Act (ESSA), which was signed into law on December 10, 2015; beginning in FY 2017, the ESSA will serve as the statutory framework for future MSAP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consistently demonstrates that concentrated poverty in schools negatively affects academic performance. Children who attend high-poverty schools have poorer academic outcomes than those who do not. n1 Conversely, studies have shown that socioeconomic diversity in school contributes to improved academic and life outcomes for students, and that the socioeconomic make-up of a school is one of the strongest predictors of whether or not a student will succeed academically. n2 Almost half of public elementary school students attend schools where most of the students are from lower income households, and Black and Latino students are disproportionately concentrated in these schools in almost every State. n3 Strategies that promote socioeconomic integration could have a profound impact on reducing the number of high-poverty schools in many districts across the country, which could in turn greatly improve academic achievement and close achievement gaps.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James S. Coleman, </w:t>
      </w:r>
      <w:r>
        <w:rPr>
          <w:rFonts w:ascii="arial" w:eastAsia="arial" w:hAnsi="arial" w:cs="arial"/>
          <w:b w:val="0"/>
          <w:i/>
          <w:strike w:val="0"/>
          <w:noProof w:val="0"/>
          <w:color w:val="000000"/>
          <w:position w:val="0"/>
          <w:sz w:val="20"/>
          <w:u w:val="none"/>
          <w:vertAlign w:val="baseline"/>
        </w:rPr>
        <w:t>Equality and Educational Opportunity</w:t>
      </w:r>
      <w:r>
        <w:rPr>
          <w:rFonts w:ascii="arial" w:eastAsia="arial" w:hAnsi="arial" w:cs="arial"/>
          <w:b w:val="0"/>
          <w:i w:val="0"/>
          <w:strike w:val="0"/>
          <w:noProof w:val="0"/>
          <w:color w:val="000000"/>
          <w:position w:val="0"/>
          <w:sz w:val="20"/>
          <w:u w:val="none"/>
          <w:vertAlign w:val="baseline"/>
        </w:rPr>
        <w:t xml:space="preserve"> (Washington, DC: U.S. Department of Health, Education, and Welfare, 1966); Christopher Jencks, "The Coleman Report and Conventional Wisdom," in </w:t>
      </w:r>
      <w:r>
        <w:rPr>
          <w:rFonts w:ascii="arial" w:eastAsia="arial" w:hAnsi="arial" w:cs="arial"/>
          <w:b w:val="0"/>
          <w:i/>
          <w:strike w:val="0"/>
          <w:noProof w:val="0"/>
          <w:color w:val="000000"/>
          <w:position w:val="0"/>
          <w:sz w:val="20"/>
          <w:u w:val="none"/>
          <w:vertAlign w:val="baseline"/>
        </w:rPr>
        <w:t>On Equality of Educational Opportunity: Non-Racial Approaches to Integration,</w:t>
      </w:r>
      <w:r>
        <w:rPr>
          <w:rFonts w:ascii="arial" w:eastAsia="arial" w:hAnsi="arial" w:cs="arial"/>
          <w:b w:val="0"/>
          <w:i w:val="0"/>
          <w:strike w:val="0"/>
          <w:noProof w:val="0"/>
          <w:color w:val="000000"/>
          <w:position w:val="0"/>
          <w:sz w:val="20"/>
          <w:u w:val="none"/>
          <w:vertAlign w:val="baseline"/>
        </w:rPr>
        <w:t xml:space="preserve"> eds. Frederick Mosteller and Daniel P. Moynihan (New York: Vintage Books, 1972), 69-115; Russell Rumberger and Gregory Palardy, "Does Segregation Still Matter? The Impact of Student Composition on Academic Achievement in High School," </w:t>
      </w:r>
      <w:r>
        <w:rPr>
          <w:rFonts w:ascii="arial" w:eastAsia="arial" w:hAnsi="arial" w:cs="arial"/>
          <w:b w:val="0"/>
          <w:i/>
          <w:strike w:val="0"/>
          <w:noProof w:val="0"/>
          <w:color w:val="000000"/>
          <w:position w:val="0"/>
          <w:sz w:val="20"/>
          <w:u w:val="none"/>
          <w:vertAlign w:val="baseline"/>
        </w:rPr>
        <w:t>Teacher College Record</w:t>
      </w:r>
      <w:r>
        <w:rPr>
          <w:rFonts w:ascii="arial" w:eastAsia="arial" w:hAnsi="arial" w:cs="arial"/>
          <w:b w:val="0"/>
          <w:i w:val="0"/>
          <w:strike w:val="0"/>
          <w:noProof w:val="0"/>
          <w:color w:val="000000"/>
          <w:position w:val="0"/>
          <w:sz w:val="20"/>
          <w:u w:val="none"/>
          <w:vertAlign w:val="baseline"/>
        </w:rPr>
        <w:t xml:space="preserve"> 107, no. 9 (2005): 1999-2045; Laura B. Perry and Andrew McConney, "Does the SES of the School Matter? An Examination of Socioeconomic Status and Student Achievement using PISA 2003," </w:t>
      </w:r>
      <w:r>
        <w:rPr>
          <w:rFonts w:ascii="arial" w:eastAsia="arial" w:hAnsi="arial" w:cs="arial"/>
          <w:b w:val="0"/>
          <w:i/>
          <w:strike w:val="0"/>
          <w:noProof w:val="0"/>
          <w:color w:val="000000"/>
          <w:position w:val="0"/>
          <w:sz w:val="20"/>
          <w:u w:val="none"/>
          <w:vertAlign w:val="baseline"/>
        </w:rPr>
        <w:t>Teachers College Record</w:t>
      </w:r>
      <w:r>
        <w:rPr>
          <w:rFonts w:ascii="arial" w:eastAsia="arial" w:hAnsi="arial" w:cs="arial"/>
          <w:b w:val="0"/>
          <w:i w:val="0"/>
          <w:strike w:val="0"/>
          <w:noProof w:val="0"/>
          <w:color w:val="000000"/>
          <w:position w:val="0"/>
          <w:sz w:val="20"/>
          <w:u w:val="none"/>
          <w:vertAlign w:val="baseline"/>
        </w:rPr>
        <w:t xml:space="preserve"> 112, no. 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James S. Coleman, </w:t>
      </w:r>
      <w:r>
        <w:rPr>
          <w:rFonts w:ascii="arial" w:eastAsia="arial" w:hAnsi="arial" w:cs="arial"/>
          <w:b w:val="0"/>
          <w:i/>
          <w:strike w:val="0"/>
          <w:noProof w:val="0"/>
          <w:color w:val="000000"/>
          <w:position w:val="0"/>
          <w:sz w:val="20"/>
          <w:u w:val="none"/>
          <w:vertAlign w:val="baseline"/>
        </w:rPr>
        <w:t>Equality and Educational Opportunity;</w:t>
      </w:r>
      <w:r>
        <w:rPr>
          <w:rFonts w:ascii="arial" w:eastAsia="arial" w:hAnsi="arial" w:cs="arial"/>
          <w:b w:val="0"/>
          <w:i w:val="0"/>
          <w:strike w:val="0"/>
          <w:noProof w:val="0"/>
          <w:color w:val="000000"/>
          <w:position w:val="0"/>
          <w:sz w:val="20"/>
          <w:u w:val="none"/>
          <w:vertAlign w:val="baseline"/>
        </w:rPr>
        <w:t xml:space="preserve"> Russell Rumberger and Gregory Palardy, "Does Segregation Still Matter?" 1999-2045.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Susan Aud et al., </w:t>
      </w:r>
      <w:r>
        <w:rPr>
          <w:rFonts w:ascii="arial" w:eastAsia="arial" w:hAnsi="arial" w:cs="arial"/>
          <w:b w:val="0"/>
          <w:i/>
          <w:strike w:val="0"/>
          <w:noProof w:val="0"/>
          <w:color w:val="000000"/>
          <w:position w:val="0"/>
          <w:sz w:val="20"/>
          <w:u w:val="none"/>
          <w:vertAlign w:val="baseline"/>
        </w:rPr>
        <w:t>The Condition of Education 2011</w:t>
      </w:r>
      <w:r>
        <w:rPr>
          <w:rFonts w:ascii="arial" w:eastAsia="arial" w:hAnsi="arial" w:cs="arial"/>
          <w:b w:val="0"/>
          <w:i w:val="0"/>
          <w:strike w:val="0"/>
          <w:noProof w:val="0"/>
          <w:color w:val="000000"/>
          <w:position w:val="0"/>
          <w:sz w:val="20"/>
          <w:u w:val="none"/>
          <w:vertAlign w:val="baseline"/>
        </w:rPr>
        <w:t xml:space="preserve"> (Washington, DC: U.S. Government Printing Office, 2011), Table A-28-1.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Ann Mantil, Anne G. Perkins, and Stephanie Aberger, "The Challenge of High-Poverty Schools: How Feasible Is Socioeconomic School Integration?" in </w:t>
      </w:r>
      <w:r>
        <w:rPr>
          <w:rFonts w:ascii="arial" w:eastAsia="arial" w:hAnsi="arial" w:cs="arial"/>
          <w:b w:val="0"/>
          <w:i/>
          <w:strike w:val="0"/>
          <w:noProof w:val="0"/>
          <w:color w:val="000000"/>
          <w:position w:val="0"/>
          <w:sz w:val="20"/>
          <w:u w:val="none"/>
          <w:vertAlign w:val="baseline"/>
        </w:rPr>
        <w:t>The Future of School Integration: Socioeconomic Diversity as an Education Reform Strategy,</w:t>
      </w:r>
      <w:r>
        <w:rPr>
          <w:rFonts w:ascii="arial" w:eastAsia="arial" w:hAnsi="arial" w:cs="arial"/>
          <w:b w:val="0"/>
          <w:i w:val="0"/>
          <w:strike w:val="0"/>
          <w:noProof w:val="0"/>
          <w:color w:val="000000"/>
          <w:position w:val="0"/>
          <w:sz w:val="20"/>
          <w:u w:val="none"/>
          <w:vertAlign w:val="baseline"/>
        </w:rPr>
        <w:t xml:space="preserve"> ed. Richard D. Kahlenberg (New York: The Century Foundation, 2012),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particularly interested in projects that seek to improve MSAP outcomes related to minority group isolation and academic achievement by implementing complementary strategies to increase the socioeconomic integration of schools in an effort to eliminate, reduce, or prevent minority group isolation. Therefore, we include an invitational priority for these types of projects. These proposals will help inform future MSAP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conducted under ESSA, which will include the statutory priority for projects proposing to increase racial integration by taking into account socioeconomic diversity in designing and implementing magnet school programs. We also encourage applicants to define socioeconomic status (such as family income, education level or other factors), and to describe how the applicant's approach to defining and using socioeconomic status connects to their efforts to eliminate, reduce, or prevent minority group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proposing projects that seek to eliminate, reduce, or prevent minority group isolation and, if applicable, increase the socioeconomic integration of schools, we encourage all applicants to consult the "Guidance on the Voluntary Use of Race to Achieve Diversity and Avoid Racial Isolation in Elementary and Secondary Schools," released by the U.S. Department of Education's Office for Civil Rights (OCR) and the U.S. Department of Justice on December 2, 2011. n5 This guidance provides some examples of approaches that may be considered, including school and program siting; grade realignment and feeder patterns; school zoning; open choice and enrollment; and inter- and intra-district transfers. We encourage applicants to consult legal counsel when considering which approaches might be best suited to a particular situation and in alignment with this program's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Available at: </w:t>
      </w:r>
      <w:hyperlink r:id="rId10" w:history="1">
        <w:r>
          <w:rPr>
            <w:rFonts w:ascii="arial" w:eastAsia="arial" w:hAnsi="arial" w:cs="arial"/>
            <w:b w:val="0"/>
            <w:i/>
            <w:strike w:val="0"/>
            <w:noProof w:val="0"/>
            <w:color w:val="0077CC"/>
            <w:position w:val="0"/>
            <w:sz w:val="20"/>
            <w:u w:val="single"/>
            <w:vertAlign w:val="baseline"/>
          </w:rPr>
          <w:t>www.ed.gov/ocr/letters/colleague-201111.pdf</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www.ed.gov/ocr/docs/guidance-ese-201111.pdf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 guidance from 2013 and 2014 available at </w:t>
      </w:r>
      <w:hyperlink r:id="rId12" w:history="1">
        <w:r>
          <w:rPr>
            <w:rFonts w:ascii="arial" w:eastAsia="arial" w:hAnsi="arial" w:cs="arial"/>
            <w:b w:val="0"/>
            <w:i/>
            <w:strike w:val="0"/>
            <w:noProof w:val="0"/>
            <w:color w:val="0077CC"/>
            <w:position w:val="0"/>
            <w:sz w:val="20"/>
            <w:u w:val="single"/>
            <w:vertAlign w:val="baseline"/>
          </w:rPr>
          <w:t>www.ed.gov/ocr/letters/colleague-201309.pdf</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www.ed.gov/ocr/letters/colleague-201405-schuette-guidance.pdf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also designed to improve MSAP outcomes by supporting evidence-based strategies for eliminating, reducing, or preventing minority group isolation; increasing diversity; and improving academic achievement. For this reason, we include a selection factor that asks applicants to address the extent to which projects are grounded in a logic model (as defined in this notice) that connects the program's inputs to its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applicants that can support their proposed projects with evidence of promise (as defined in this notice). Such evidence will enable us to better understand the empirical connection between school districts that have systematically moved toward integration in the past and student outcomes that are relevant to MSAP. We are particularly interested in evidence-based strategies that promote racial integration by taking into account socioeconomic diversity.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one invitational priority within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stand alone invitational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34 CFR 75.105(b)(2)(ii),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2, and 3 are from the MSAP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(34 CFR 280.32).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is from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4"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5 is from 34 CFR 75.226.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280.30(f) we will award up to 15 additional points to an application, depending on how well the applicant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2, and 3. Under 34 CFR 75.105(c)(2)(i) we will award up to an additional five points to an application, depending on how well the application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and we will award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5. Together, depending on how well the application meets these </w:t>
      </w:r>
      <w:r>
        <w:rPr>
          <w:rFonts w:ascii="arial" w:eastAsia="arial" w:hAnsi="arial" w:cs="arial"/>
          <w:b/>
          <w:i w:val="0"/>
          <w:strike w:val="0"/>
          <w:noProof w:val="0"/>
          <w:color w:val="000000"/>
          <w:position w:val="0"/>
          <w:sz w:val="20"/>
          <w:u w:val="none"/>
          <w:vertAlign w:val="baseline"/>
        </w:rPr>
        <w:t> [*23685] </w:t>
      </w:r>
      <w:r>
        <w:rPr>
          <w:rFonts w:ascii="arial" w:eastAsia="arial" w:hAnsi="arial" w:cs="arial"/>
          <w:b w:val="0"/>
          <w:i w:val="0"/>
          <w:strike w:val="0"/>
          <w:noProof w:val="0"/>
          <w:color w:val="000000"/>
          <w:position w:val="0"/>
          <w:sz w:val="20"/>
          <w:u w:val="none"/>
          <w:vertAlign w:val="baseline"/>
        </w:rPr>
        <w:t xml:space="preserve"> priorities, an application may be awarded up to a total of 25 additional points. Applicants may apply under any or all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maximum possible points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are indicated in parentheses following the name of the priority. These points are in addition to any points the application earns under the selection criteria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1--Need for Assistance (0 to 5 additional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evaluates the applicant's need for assistance by considering--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costs of fully implementing the magnet schools project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resources available to the applicant to carry out the project if funds under the program were not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extent to which the costs of the project exceed the applicant's resources;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difficulty of effectively carrying out the approved plan and the project for which assistance is sought, including consideration of how the design of the magnet schools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type of program proposed, the location of the magnet school within the LEA--impacts the applicant's ability to successfully carry out the approved plan.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2--New or Revised Magnet Schools Projects (0 to 5 additional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determines the extent to which the applicant proposes to carry out new magnet schools projects or significantly revise existing magnet schools projects.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3--Selection of Students (0 to 5 additional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determines the extent to which the applicant proposes to select students to attend magnet schools by methods such as lottery, rather than through academic examination.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4--Promoting Science, Technology, Engineering, and Mathematics (STEM) Education (0 to 5 additional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student achievement (as defined in this notice) or other related outcomes by supporting local or regional partnerships to give students access to real-world STEM experiences and to give educators access to high-quality STEM-related professional learning.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5--Supporting Strategies for which there is Evidence of Promise (0 or 5 additional points)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propose a process, product, strategy, or practice supported by evidence of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are particularly interested in applications that address the following invitational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Racial and Socioeconomic Integration Evidence of Promise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especially interested in evidence of promise surrounding racial and socioeconomic integration.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addressing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5 should clearly identify up to two research study citation(s) to be reviewed for the purposes of meeting this priority. In addition, the applicant should specify the intervention(s) in the identified study or studies that it plans to implement and the findings within the citation(s) that the applicant is requesting be considered as evidence of promise. At a minimum, applicants should provide the referenced citation(s), and a discussion of the relevant intervention(s) and findings, in the application narrative. The Department will not consider a study citation that an applicant fails to clearly identify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must either ensure that all evidence is available to the Department from publicly available sources and provide links or other guidance indicating where it is available; or, in the application, include a copy of the full study in the Appendix. If the Department determines that an applicant provided insufficient information, the applicant will not have an opportunity to provide additional information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are particularly interested in applications that address the following invitational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2016 this priority is an invitational priority.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Socioeconomic Integration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encourages projects that propose to increase racial integration by taking into account socioeconomic diversity in designing and implementing magnet school programs. Projects may implement inter-district or intra-district integration strategies such as neighborhood preferences or weighted lotteries.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All definitions are from 34 CFR 77.1(c) and the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paragraphs (i) and (ii) of this section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w:t>
      </w:r>
      <w:r>
        <w:rPr>
          <w:rFonts w:ascii="arial" w:eastAsia="arial" w:hAnsi="arial" w:cs="arial"/>
          <w:b/>
          <w:i w:val="0"/>
          <w:strike w:val="0"/>
          <w:noProof w:val="0"/>
          <w:color w:val="000000"/>
          <w:position w:val="0"/>
          <w:sz w:val="20"/>
          <w:u w:val="none"/>
          <w:vertAlign w:val="baseline"/>
        </w:rPr>
        <w:t> [*23686] </w:t>
      </w:r>
      <w:r>
        <w:rPr>
          <w:rFonts w:ascii="arial" w:eastAsia="arial" w:hAnsi="arial" w:cs="arial"/>
          <w:b w:val="0"/>
          <w:i w:val="0"/>
          <w:strike w:val="0"/>
          <w:noProof w:val="0"/>
          <w:color w:val="000000"/>
          <w:position w:val="0"/>
          <w:sz w:val="20"/>
          <w:u w:val="none"/>
          <w:vertAlign w:val="baseline"/>
        </w:rPr>
        <w:t xml:space="preserve">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required under section 1111(b)(3) of the Elementary and Secondary Act of 1965, as amended (ESEA): (1) A student's score on such assessments; and, as appropriate (2) other measures of student learning, such as those described in the subsequent paragraph, provided that they are rigorous and comparable across schools within a local educational agency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not required under section 1111(b)(3) of the ESEA: (1) Alternative measures of student learning and performance, such as student results on pre-tests, end-of-course tests, and objective performance-based assessments; (2) student learning objectives; (3) student performance on English language proficiency assessments; and (4) other measures of student achievement that are rigorous and comparable across schools within an LEA.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5"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20 U.S.C. 7231</w:t>
        </w:r>
      </w:hyperlink>
      <w:r>
        <w:rPr>
          <w:rFonts w:ascii="arial" w:eastAsia="arial" w:hAnsi="arial" w:cs="arial"/>
          <w:b w:val="0"/>
          <w:i w:val="0"/>
          <w:strike w:val="0"/>
          <w:noProof w:val="0"/>
          <w:color w:val="000000"/>
          <w:position w:val="0"/>
          <w:sz w:val="20"/>
          <w:u w:val="none"/>
          <w:vertAlign w:val="baseline"/>
        </w:rPr>
        <w:t>-7231j.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80, 81, 82, 84,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280. (e)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$ 91,322,994.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$ 700,000-$ 4,000,000 per budget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$ 3,200,000 per budget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$ 12,000,000. We will not fund an annual budget period exceeding $ 4,000,000 per budget year or $ 12,000,000 total. We may choose not to further review an application that proposes a one year budget period that exceeds $ 4,000,000.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8-10. We may make awards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complete three-year (36-month) project period by front-loading all three budget periods using FY 2016 funds. Additional information regarding how we will fund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found on the MSAP Web site at </w:t>
      </w:r>
      <w:hyperlink r:id="rId17" w:history="1">
        <w:r>
          <w:rPr>
            <w:rFonts w:ascii="arial" w:eastAsia="arial" w:hAnsi="arial" w:cs="arial"/>
            <w:b w:val="0"/>
            <w:i/>
            <w:strike w:val="0"/>
            <w:noProof w:val="0"/>
            <w:color w:val="0077CC"/>
            <w:position w:val="0"/>
            <w:sz w:val="20"/>
            <w:u w:val="single"/>
            <w:vertAlign w:val="baseline"/>
          </w:rPr>
          <w:t>http://innovation.ed.gov/what-we-do/parental-options/magnet-school-assistance-program-msap/applicant-info-and-eligibility/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LEAs or consortia of LEAs implementing a desegregation plan as specified in section III. 3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Applicants must submit with their applications one of the following types of desegregation plans to establish eligibility to receive MSAP assistance: (a) A desegregation plan required by a court order; (b) a desegregation plan required by a State agency or an official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(c) a desegregation plan required by the Office for Civil Rights (OCR), United States Department of Education (Department), under Title VI of the Civil Rights Act of 1964 (Title VI); or (d) a voluntary desegregation plan adopted by the applicant and submitted to the Department for approval as part of the application. Under the MSAP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applicants are required to provide all of the information required in 34 CFR 280.20(a) through (g) in order to satisfy the civil rights eligibility requirements found in 34 CFR 280.2(a)(2)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particular data and other items for required and voluntary desegregation plans described in the application package, an application must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Projected enrollment by race and ethnicity for magnet and feeder schools;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civil rights assurances (included in the application package);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the desegregation plan is being implemented or will be implemented if the application is funded.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Required Desegregation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Desegregation plans required by a court order. An applicant that submits a desegregation plan required by a court order must submit complete and signed copies of all court documents demonstrating that the magnet schools are a part of the approved desegregation plan. Examples of the types of documents that would meet this requirement include a Federal or State court order that establishes specific magnet schools, amends a previous order or orders by establishing additional or different specific magnet schools, requires or approves the establishment of one or more unspecified magnet schools, or that authorizes the inclusion of magnet schools at the discretion of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Desegregation plans required by a State agency or official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 applicant submitting a desegregation plan ordered by a State agency or official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must provide documentation that shows that the desegregation plan was ordered based upon a determination that State law was violated. In the absence of this documentation, the applicant should consider its desegregation plan to be a voluntary plan and submit the data and information necessary for voluntary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Desegregation plans required by Title VI. An applicant that submits a desegregation plan required by OCR under Title VI must submit a complete copy of the desegregation plan demonstrating that magnet schools are part of the approved plan or that the plan authorizes the inclusion of magnet schools at the discretion of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Modifications to required desegregation plans. A previously approved desegregation plan that does not include the magnet school or program for which the applicant is now seeking assistance must be modified to include the magnet school component. The modification to the desegregation plan must be approved by the court, agency, or official that originally approved the plan. An applicant that wishes to modify a previously approved OCR Title VI desegregation plan to include different or additional magnet schools must submit the proposed </w:t>
      </w:r>
      <w:r>
        <w:rPr>
          <w:rFonts w:ascii="arial" w:eastAsia="arial" w:hAnsi="arial" w:cs="arial"/>
          <w:b/>
          <w:i w:val="0"/>
          <w:strike w:val="0"/>
          <w:noProof w:val="0"/>
          <w:color w:val="000000"/>
          <w:position w:val="0"/>
          <w:sz w:val="20"/>
          <w:u w:val="none"/>
          <w:vertAlign w:val="baseline"/>
        </w:rPr>
        <w:t> [*23687] </w:t>
      </w:r>
      <w:r>
        <w:rPr>
          <w:rFonts w:ascii="arial" w:eastAsia="arial" w:hAnsi="arial" w:cs="arial"/>
          <w:b w:val="0"/>
          <w:i w:val="0"/>
          <w:strike w:val="0"/>
          <w:noProof w:val="0"/>
          <w:color w:val="000000"/>
          <w:position w:val="0"/>
          <w:sz w:val="20"/>
          <w:u w:val="none"/>
          <w:vertAlign w:val="baseline"/>
        </w:rPr>
        <w:t xml:space="preserve"> modification for review and approval to the OCR regional office that approved its original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should indicate in its application if it is seeking to modify its previously approved desegregation plan. However, all applicants must submit proof of approval of all modifications to their plans to the Department by June 30, 2016. Proof of plan modifications should be mailed to the person and address identified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Voluntary Desegregation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voluntary desegregation plan must be approved by the Department each time an application is submitted for funding. Even if the Department has approved a voluntary desegregation plan in an LEA in the past, the desegregation plan must be resubmitted for approval as part of the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applicant's voluntary desegregation plan must describe how the LEA defines or identifies minority group isolation, demonstrate how the LEA will reduce, eliminate, or prevent minority group isolation for each magnet school in the proposed magnet school application, and, if relevant, at identified feeder schools, and demonstrate that the proposed voluntary desegregation plan is adequate under Title VI. For additional guidance on how an LEA can voluntarily reduce minority group isolation and promote diversity in an LEA in light of the Supreme Court's decision in </w:t>
      </w:r>
      <w:r>
        <w:rPr>
          <w:rFonts w:ascii="arial" w:eastAsia="arial" w:hAnsi="arial" w:cs="arial"/>
          <w:b w:val="0"/>
          <w:i/>
          <w:strike w:val="0"/>
          <w:noProof w:val="0"/>
          <w:color w:val="000000"/>
          <w:position w:val="0"/>
          <w:sz w:val="20"/>
          <w:u w:val="none"/>
          <w:vertAlign w:val="baseline"/>
        </w:rPr>
        <w:t xml:space="preserve">Parents Involved in </w:t>
      </w:r>
      <w:hyperlink r:id="rId18" w:history="1">
        <w:r>
          <w:rPr>
            <w:rFonts w:ascii="arial" w:eastAsia="arial" w:hAnsi="arial" w:cs="arial"/>
            <w:b w:val="0"/>
            <w:i/>
            <w:strike w:val="0"/>
            <w:noProof w:val="0"/>
            <w:color w:val="0077CC"/>
            <w:position w:val="0"/>
            <w:sz w:val="20"/>
            <w:u w:val="single"/>
            <w:vertAlign w:val="baseline"/>
          </w:rPr>
          <w:t>Community Schools v.  Seattle School District No 1 et al., 551 U.S. 701 (2007),</w:t>
        </w:r>
      </w:hyperlink>
      <w:r>
        <w:rPr>
          <w:rFonts w:ascii="arial" w:eastAsia="arial" w:hAnsi="arial" w:cs="arial"/>
          <w:b w:val="0"/>
          <w:i w:val="0"/>
          <w:strike w:val="0"/>
          <w:noProof w:val="0"/>
          <w:color w:val="000000"/>
          <w:position w:val="0"/>
          <w:sz w:val="20"/>
          <w:u w:val="none"/>
          <w:vertAlign w:val="baseline"/>
        </w:rPr>
        <w:t xml:space="preserve"> see the December 2, 2011, "Guidance on the Voluntary Use of Race to Achieve Diversity and Avoid Racial Isolation in Elementary and Secondary Schools" available on the Department's Web site at </w:t>
      </w:r>
      <w:hyperlink r:id="rId11" w:history="1">
        <w:r>
          <w:rPr>
            <w:rFonts w:ascii="arial" w:eastAsia="arial" w:hAnsi="arial" w:cs="arial"/>
            <w:b w:val="0"/>
            <w:i/>
            <w:strike w:val="0"/>
            <w:noProof w:val="0"/>
            <w:color w:val="0077CC"/>
            <w:position w:val="0"/>
            <w:sz w:val="20"/>
            <w:u w:val="single"/>
            <w:vertAlign w:val="baseline"/>
          </w:rPr>
          <w:t>www.ed.gov/ocr/docs/guidance-ese-201111.pdf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Complete and accurate enrollment forms and other information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280.20(f) and (g) for applicants with voluntary desegregation plans are critical to the Department's determination of an applicant's eligibility under a voluntary desegregation plan (specific requirements are detailed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Voluntary desegregation plan applicants must submit evidence of school board approval or evidence of other official adoption of the plan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280.20(f)(2).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Single-Sex Programs:</w:t>
      </w:r>
      <w:r>
        <w:rPr>
          <w:rFonts w:ascii="arial" w:eastAsia="arial" w:hAnsi="arial" w:cs="arial"/>
          <w:b w:val="0"/>
          <w:i w:val="0"/>
          <w:strike w:val="0"/>
          <w:noProof w:val="0"/>
          <w:color w:val="000000"/>
          <w:position w:val="0"/>
          <w:sz w:val="20"/>
          <w:u w:val="none"/>
          <w:vertAlign w:val="baseline"/>
        </w:rPr>
        <w:t xml:space="preserve"> In addition to the normal MSAP grant review process, an applicant proposing to operate a single-sex magnet school or a coeducational magnet school that offers single-sex classes or extracurricular activities will undergo a separate and detailed review of its proposed single-sex educational program to determine compliance with applicable nondiscrimination laws, including the Equal Protection Clause of the U.S. Constitution (as interpreted in </w:t>
      </w:r>
      <w:hyperlink r:id="rId19" w:history="1">
        <w:r>
          <w:rPr>
            <w:rFonts w:ascii="arial" w:eastAsia="arial" w:hAnsi="arial" w:cs="arial"/>
            <w:b w:val="0"/>
            <w:i/>
            <w:strike w:val="0"/>
            <w:noProof w:val="0"/>
            <w:color w:val="0077CC"/>
            <w:position w:val="0"/>
            <w:sz w:val="20"/>
            <w:u w:val="single"/>
            <w:vertAlign w:val="baseline"/>
          </w:rPr>
          <w:t>United States v.  Virginia, 518 U.S. 515 (1996),</w:t>
        </w:r>
      </w:hyperlink>
      <w:r>
        <w:rPr>
          <w:rFonts w:ascii="arial" w:eastAsia="arial" w:hAnsi="arial" w:cs="arial"/>
          <w:b w:val="0"/>
          <w:i w:val="0"/>
          <w:strike w:val="0"/>
          <w:noProof w:val="0"/>
          <w:color w:val="000000"/>
          <w:position w:val="0"/>
          <w:sz w:val="20"/>
          <w:u w:val="none"/>
          <w:vertAlign w:val="baseline"/>
        </w:rPr>
        <w:t xml:space="preserve"> and other cases) and Title IX of the Education Amendments of 1972 </w:t>
      </w:r>
      <w:hyperlink r:id="rId20"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34 CFR 106.34. This additional review is likely to require the applicant to provide additional fact-specific information about the single-sex program within the Department's timeframes for determining eligibility for funding. It is likely special conditions will be placed on any grant used to support a single-sex educational program. Please see the application package for additional information about an application proposing a single-sex magnet school or a coeducational magnet school offering single-sex classes or extracurricular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21" w:history="1">
        <w:r>
          <w:rPr>
            <w:rFonts w:ascii="arial" w:eastAsia="arial" w:hAnsi="arial" w:cs="arial"/>
            <w:b w:val="0"/>
            <w:i/>
            <w:strike w:val="0"/>
            <w:noProof w:val="0"/>
            <w:color w:val="0077CC"/>
            <w:position w:val="0"/>
            <w:sz w:val="20"/>
            <w:u w:val="single"/>
            <w:vertAlign w:val="baseline"/>
          </w:rPr>
          <w:t>www.ed.gov/fund/grant/apply/grantapps/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the following: Education Publications Center,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2"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3"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request an application from ED Pubs, be sure to identify this program as follows: CFDA number 84.165A.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Tiffany McClain, U.S. Department of Education, 400 Maryland Avenue SW., Room 4W250, Washington, DC 20202-5970. Telephone: (202) 453-7200 or by email: </w:t>
      </w:r>
      <w:hyperlink r:id="rId24" w:history="1">
        <w:r>
          <w:rPr>
            <w:rFonts w:ascii="arial" w:eastAsia="arial" w:hAnsi="arial" w:cs="arial"/>
            <w:b w:val="0"/>
            <w:i/>
            <w:strike w:val="0"/>
            <w:noProof w:val="0"/>
            <w:color w:val="0077CC"/>
            <w:position w:val="0"/>
            <w:sz w:val="20"/>
            <w:u w:val="single"/>
            <w:vertAlign w:val="baseline"/>
          </w:rPr>
          <w:t>msap.team@ed.gov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use a TDD or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the Department of the applicant's intent to submit an application for funding by completing a Web-based form. When completing this form, applicants will provide (1) the applicant organization's name and address, (2) the number of and proposed theme(s) of school(s) that will be served through the MSAP grant, and (3) information on the priority or priorities (if any) under which the applicant intends to apply. Applicants may access this form online at </w:t>
      </w:r>
      <w:hyperlink r:id="rId25" w:history="1">
        <w:r>
          <w:rPr>
            <w:rFonts w:ascii="arial" w:eastAsia="arial" w:hAnsi="arial" w:cs="arial"/>
            <w:b w:val="0"/>
            <w:i/>
            <w:strike w:val="0"/>
            <w:noProof w:val="0"/>
            <w:color w:val="0077CC"/>
            <w:position w:val="0"/>
            <w:sz w:val="20"/>
            <w:u w:val="single"/>
            <w:vertAlign w:val="baseline"/>
          </w:rPr>
          <w:t>http://innovation.ed.gov/what-we-do/parental-options/magnet-school-assistance-program-msap/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apply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that reviewers use to evaluate your application. You must limit the application narrative to no more than 150 pages, using the following standards: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12-point or larger or no smaller than 10 pitch (characters per inch).</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Times New Roman, Courier, Courier New, or Arial. An application submitted in any other font (including Times Roman or Arial Narrow) will not be accepted.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page numbers at the bottom of each page in your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does not apply to Part I, the cover sheet; Part II, the budget section, including the narrative budget justification; Part IV, the assurances, certifications, the desegregation plan </w:t>
      </w:r>
      <w:r>
        <w:rPr>
          <w:rFonts w:ascii="arial" w:eastAsia="arial" w:hAnsi="arial" w:cs="arial"/>
          <w:b/>
          <w:i w:val="0"/>
          <w:strike w:val="0"/>
          <w:noProof w:val="0"/>
          <w:color w:val="000000"/>
          <w:position w:val="0"/>
          <w:sz w:val="20"/>
          <w:u w:val="none"/>
          <w:vertAlign w:val="baseline"/>
        </w:rPr>
        <w:t> [*23688] </w:t>
      </w:r>
      <w:r>
        <w:rPr>
          <w:rFonts w:ascii="arial" w:eastAsia="arial" w:hAnsi="arial" w:cs="arial"/>
          <w:b w:val="0"/>
          <w:i w:val="0"/>
          <w:strike w:val="0"/>
          <w:noProof w:val="0"/>
          <w:color w:val="000000"/>
          <w:position w:val="0"/>
          <w:sz w:val="20"/>
          <w:u w:val="none"/>
          <w:vertAlign w:val="baseline"/>
        </w:rPr>
        <w:t xml:space="preserve"> and related information, and the forms used to respond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2 and 3; or the one-page abstract, the resumes, or letters of support. However, the page limit does apply to all of the application narrative in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that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MSAP program,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22,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Informational Webinar:</w:t>
      </w:r>
      <w:r>
        <w:rPr>
          <w:rFonts w:ascii="arial" w:eastAsia="arial" w:hAnsi="arial" w:cs="arial"/>
          <w:b w:val="0"/>
          <w:i w:val="0"/>
          <w:strike w:val="0"/>
          <w:noProof w:val="0"/>
          <w:color w:val="000000"/>
          <w:position w:val="0"/>
          <w:sz w:val="20"/>
          <w:u w:val="none"/>
          <w:vertAlign w:val="baseline"/>
        </w:rPr>
        <w:t xml:space="preserve"> The MSAP intends to hold a Webinar to provide technical assistance to interested applicants. Detailed information regarding this Webinar will be provided on the MSAP Web site at </w:t>
      </w:r>
      <w:hyperlink r:id="rId26" w:history="1">
        <w:r>
          <w:rPr>
            <w:rFonts w:ascii="arial" w:eastAsia="arial" w:hAnsi="arial" w:cs="arial"/>
            <w:b w:val="0"/>
            <w:i/>
            <w:strike w:val="0"/>
            <w:noProof w:val="0"/>
            <w:color w:val="0077CC"/>
            <w:position w:val="0"/>
            <w:sz w:val="20"/>
            <w:u w:val="single"/>
            <w:vertAlign w:val="baseline"/>
          </w:rPr>
          <w:t>http://www2.ed.gov/programs/magnet/index.html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recording of this Webinar will be available on the Web site following the session.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34 CFR 280.41.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9"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3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MSAP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MSAP, CFDA number 84.165A, must be submitted electronically using the Governmentwide Grants.gov Apply site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w:t>
      </w:r>
      <w:r>
        <w:rPr>
          <w:rFonts w:ascii="arial" w:eastAsia="arial" w:hAnsi="arial" w:cs="arial"/>
          <w:b/>
          <w:i w:val="0"/>
          <w:strike w:val="0"/>
          <w:noProof w:val="0"/>
          <w:color w:val="000000"/>
          <w:position w:val="0"/>
          <w:sz w:val="20"/>
          <w:u w:val="none"/>
          <w:vertAlign w:val="baseline"/>
        </w:rPr>
        <w:t> [*23689] </w:t>
      </w:r>
      <w:r>
        <w:rPr>
          <w:rFonts w:ascii="arial" w:eastAsia="arial" w:hAnsi="arial" w:cs="arial"/>
          <w:b w:val="0"/>
          <w:i w:val="0"/>
          <w:strike w:val="0"/>
          <w:noProof w:val="0"/>
          <w:color w:val="000000"/>
          <w:position w:val="0"/>
          <w:sz w:val="20"/>
          <w:u w:val="none"/>
          <w:vertAlign w:val="baseline"/>
        </w:rPr>
        <w:t xml:space="preserve">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Magnet Schools Assistance Program at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84.165, not 84.165A).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MSAP to ensure that you submit your application in a timely manner to the Grants.gov system. You can also find the Education Submission Procedures pertaining to Grants.gov under News and Events on the Department's G5 system home page at </w:t>
      </w:r>
      <w:hyperlink r:id="rId3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3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 limit requirements described in this notice.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w:t>
      </w:r>
      <w:r>
        <w:rPr>
          <w:rFonts w:ascii="arial" w:eastAsia="arial" w:hAnsi="arial" w:cs="arial"/>
          <w:b/>
          <w:i w:val="0"/>
          <w:strike w:val="0"/>
          <w:noProof w:val="0"/>
          <w:color w:val="000000"/>
          <w:position w:val="0"/>
          <w:sz w:val="20"/>
          <w:u w:val="none"/>
          <w:vertAlign w:val="baseline"/>
        </w:rPr>
        <w:t> [*23690] </w:t>
      </w:r>
      <w:r>
        <w:rPr>
          <w:rFonts w:ascii="arial" w:eastAsia="arial" w:hAnsi="arial" w:cs="arial"/>
          <w:b w:val="0"/>
          <w:i w:val="0"/>
          <w:strike w:val="0"/>
          <w:noProof w:val="0"/>
          <w:color w:val="000000"/>
          <w:position w:val="0"/>
          <w:sz w:val="20"/>
          <w:u w:val="none"/>
          <w:vertAlign w:val="baseline"/>
        </w:rPr>
        <w:t xml:space="preserv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Tiffany McClain, U.S. Department of Education, 400 Maryland Avenue SW., Room 4W250, Washington, DC 20202-5970.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84.165A)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84.165A)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are from 34 CFR 75.210, 34 CFR 280.30, 34 CFR 280.31, and section 5305 of the ESEA. All of the selection criteria are listed in this section and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score for all of the selection criteria is 100 points. The maximum score for each criterion is included in parentheses following the title of the specific selection criterion. Each criterion also includes the factors that reviewers will consider in determining the extent to which an applicant meets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Points awarded under these selection criteria are in addition to any points an applicant earns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this notice. The maximum score that an application may receive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the selection criteria is 125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Desegregation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reviews each application to determine the quality of the desegregation-related activities and determines the extent to which the applicant demonstrates--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effectiveness of its plan to recruit students from different social, economic, ethnic, and racial backgrounds into the magnet schools. (34 CFR 280.31)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it will foster interaction among students of different social, economic, ethnic, and racial backgrounds in classroom activities, extracurricular activities, or other activities in the magnet schools (or, if appropriate, in the schools in which the magnet school programs operate). (34 CFR 280.31)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How it will ensure equal access and treatment for eligible project participants who have been traditionally underrepresented in courses or activities offered as part of the magnet school,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women and girls in mathematics, science, or technology courses, and disabled students. (34 CFR 280.31)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effectiveness of all other desegregation strategies proposed by the applicant for the elimination, reduction, or prevention of minority group isolation in elementary schools and secondary schools with substantial proportions of minority students. (Section 5301(b)(1)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Design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reviews each application to determine the quality of the project design.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manner and extent to which the magnet school program will improve student academic achievement for all students attending each magnet school program, including the manner and extent to which each magnet school program will increase student academic achievement in the instructional area or areas offered by the school. (Sections 5305(b)(1)(B) and 5305(b)(1)(D)(i)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applicant demonstrates that it has the resources to operate the project beyond the length of </w:t>
      </w:r>
      <w:r>
        <w:rPr>
          <w:rFonts w:ascii="arial" w:eastAsia="arial" w:hAnsi="arial" w:cs="arial"/>
          <w:b/>
          <w:i w:val="0"/>
          <w:strike w:val="0"/>
          <w:noProof w:val="0"/>
          <w:color w:val="000000"/>
          <w:position w:val="0"/>
          <w:sz w:val="20"/>
          <w:u w:val="none"/>
          <w:vertAlign w:val="baseline"/>
        </w:rPr>
        <w:t> [*23691] </w:t>
      </w:r>
      <w:r>
        <w:rPr>
          <w:rFonts w:ascii="arial" w:eastAsia="arial" w:hAnsi="arial" w:cs="arial"/>
          <w:b w:val="0"/>
          <w:i w:val="0"/>
          <w:strike w:val="0"/>
          <w:noProof w:val="0"/>
          <w:color w:val="000000"/>
          <w:position w:val="0"/>
          <w:sz w:val="20"/>
          <w:u w:val="none"/>
          <w:vertAlign w:val="baseline"/>
        </w:rPr>
        <w:t xml:space="preserve"> the grant, including a multi-year financial and operating model and accompanying plan; the demonstrated commitment of any partners; evidence of broad support from stakeholders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educational agencies, teachers' unions) critical to the project's long-term success; or more than one of these types of evidence.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training or professional development services to be provided by the proposed project are of sufficient quality, intensity, and duration to lead to improvements in practice among the recipients of those services.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proposed project is supported by strong theory (as defined in this notice).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Management Plan (15 points)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Personnel (10 points) (34 CFR 280.31).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reviews each application to determine the qualifications of the personnel the applicant plans to use on the project. The Secretary determines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project director (if one is used) is qualified to manage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key personnel are qualified to manage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Teachers who will provide instruction in participating magnet schools are qualified to implement the special curriculum of the magnet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personnel qualifications, the Secretary considers experience and training in fields related to the objectives of the project, including the key personnel's knowledge of and experience in curriculum development and desegregation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Project Evaluation (10 points)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provide for examining the effectiveness of project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include the use of objective performance measures that are clearly related to the intended outcomes of the project and will produce quantitative and qualitative data to the extent possible;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We have established the following six performance measures for the MSAP: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of magnet schools receiving assistance whose student enrollment reduces, eliminates, or prevents minority group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students from major racial and ethnic groups in magnet schools receiving assistance who score proficient or above on State assessments in reading/language 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students from major racial and ethnic groups in magnet schools receiving assistance who score proficient or above on State assessments in mathematics.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cost per student in a magnet school receiving assistance. </w:t>
      </w:r>
      <w:r>
        <w:rPr>
          <w:rFonts w:ascii="arial" w:eastAsia="arial" w:hAnsi="arial" w:cs="arial"/>
          <w:b/>
          <w:i w:val="0"/>
          <w:strike w:val="0"/>
          <w:noProof w:val="0"/>
          <w:color w:val="000000"/>
          <w:position w:val="0"/>
          <w:sz w:val="20"/>
          <w:u w:val="none"/>
          <w:vertAlign w:val="baseline"/>
        </w:rPr>
        <w:t> [*23692]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magnet schools that received assistance that are still operating magnet school programs three years after Federal funding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percentage of magnet schools that received assistance that meet the State's annual measurable objectives and, for high schools, graduation rate targets at least three years after Federal funding ends.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Recognizing that States are no longer required to report annual measurable objectives to the Department under the ESEA, as amended by the ESSA, we include this performance measure in order to ensure grantees monitor and report high school graduation rates. States must establish and measure against ambitious, long-term goals; we encourage MSAP grantees to consider these State goals and incorporate them into their annual performance reporting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Tiffany McClain, U.S. Department of Education, 400 Maryland Avenue SW., Room 4W250, Washington, DC 20202-5970. Telephone: (202) 453-7200 or by email: </w:t>
      </w:r>
      <w:hyperlink r:id="rId24" w:history="1">
        <w:r>
          <w:rPr>
            <w:rFonts w:ascii="arial" w:eastAsia="arial" w:hAnsi="arial" w:cs="arial"/>
            <w:b w:val="0"/>
            <w:i/>
            <w:strike w:val="0"/>
            <w:noProof w:val="0"/>
            <w:color w:val="0077CC"/>
            <w:position w:val="0"/>
            <w:sz w:val="20"/>
            <w:u w:val="single"/>
            <w:vertAlign w:val="baseline"/>
          </w:rPr>
          <w:t>msap.team@ed.gov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23683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d.gov/ocr/letters/colleague-201111.pdf" TargetMode="External" /><Relationship Id="rId11" Type="http://schemas.openxmlformats.org/officeDocument/2006/relationships/hyperlink" Target="http://www.ed.gov/ocr/docs/guidance-ese-201111.pdf" TargetMode="External" /><Relationship Id="rId12" Type="http://schemas.openxmlformats.org/officeDocument/2006/relationships/hyperlink" Target="http://www.ed.gov/ocr/letters/colleague-201309.pdf" TargetMode="External" /><Relationship Id="rId13" Type="http://schemas.openxmlformats.org/officeDocument/2006/relationships/hyperlink" Target="http://www.ed.gov/ocr/letters/colleague-201405-schuette-guidance.pdf" TargetMode="External" /><Relationship Id="rId14" Type="http://schemas.openxmlformats.org/officeDocument/2006/relationships/hyperlink" Target="https://advance.lexis.com/api/document?collection=administrative-codes&amp;id=urn:contentItem:5DT7-0130-006W-81YP-00000-00&amp;context=" TargetMode="External" /><Relationship Id="rId15" Type="http://schemas.openxmlformats.org/officeDocument/2006/relationships/hyperlink" Target="http://ies.ed.gov/ncee/wwc/DocumentSum.aspx?sid=19" TargetMode="External" /><Relationship Id="rId16" Type="http://schemas.openxmlformats.org/officeDocument/2006/relationships/hyperlink" Target="https://advance.lexis.com/api/document?collection=statutes-legislation&amp;id=urn:contentItem:4YF7-GJ11-NRF4-4171-00000-00&amp;context=" TargetMode="External" /><Relationship Id="rId17" Type="http://schemas.openxmlformats.org/officeDocument/2006/relationships/hyperlink" Target="http://innovation.ed.gov/what-we-do/parental-options/magnet-school-assistance-program-msap/applicant-info-and-eligibility/" TargetMode="External" /><Relationship Id="rId18" Type="http://schemas.openxmlformats.org/officeDocument/2006/relationships/hyperlink" Target="https://advance.lexis.com/api/document?collection=cases&amp;id=urn:contentItem:4P2S-B5C0-004C-101V-00000-00&amp;context=" TargetMode="External" /><Relationship Id="rId19" Type="http://schemas.openxmlformats.org/officeDocument/2006/relationships/hyperlink" Target="https://advance.lexis.com/api/document?collection=cases&amp;id=urn:contentItem:3S04-RPH0-003B-R24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61-NRF4-454S-00000-00&amp;context=" TargetMode="External" /><Relationship Id="rId21" Type="http://schemas.openxmlformats.org/officeDocument/2006/relationships/hyperlink" Target="http://www.ed.gov/fund/grant/apply/grantapps/" TargetMode="External" /><Relationship Id="rId22" Type="http://schemas.openxmlformats.org/officeDocument/2006/relationships/hyperlink" Target="http://www.EdPubs.gov" TargetMode="External" /><Relationship Id="rId23" Type="http://schemas.openxmlformats.org/officeDocument/2006/relationships/hyperlink" Target="mailto:edpubs@inet.ed.gov" TargetMode="External" /><Relationship Id="rId24" Type="http://schemas.openxmlformats.org/officeDocument/2006/relationships/hyperlink" Target="mailto:msap.team@ed.gov" TargetMode="External" /><Relationship Id="rId25" Type="http://schemas.openxmlformats.org/officeDocument/2006/relationships/hyperlink" Target="http://innovation.ed.gov/what-we-do/parental-options/magnet-school-assistance-program-msap/" TargetMode="External" /><Relationship Id="rId26" Type="http://schemas.openxmlformats.org/officeDocument/2006/relationships/hyperlink" Target="http://www2.ed.gov/programs/magnet/index.html" TargetMode="External" /><Relationship Id="rId27" Type="http://schemas.openxmlformats.org/officeDocument/2006/relationships/hyperlink" Target="http://fedgov.dnb.com/webform" TargetMode="External" /><Relationship Id="rId28" Type="http://schemas.openxmlformats.org/officeDocument/2006/relationships/hyperlink" Target="http://www.SAM.gov" TargetMode="External" /><Relationship Id="rId29" Type="http://schemas.openxmlformats.org/officeDocument/2006/relationships/hyperlink" Target="http://www2.ed.gov/fund/grant/apply/sam-faqs.html" TargetMode="External" /><Relationship Id="rId3" Type="http://schemas.openxmlformats.org/officeDocument/2006/relationships/fontTable" Target="fontTable.xml" /><Relationship Id="rId30" Type="http://schemas.openxmlformats.org/officeDocument/2006/relationships/hyperlink" Target="http://www.grants.gov/web/grants/register.html" TargetMode="External" /><Relationship Id="rId31" Type="http://schemas.openxmlformats.org/officeDocument/2006/relationships/hyperlink" Target="http://www.Grants.gov" TargetMode="External" /><Relationship Id="rId32" Type="http://schemas.openxmlformats.org/officeDocument/2006/relationships/hyperlink" Target="http://www.G5.gov" TargetMode="External" /><Relationship Id="rId33" Type="http://schemas.openxmlformats.org/officeDocument/2006/relationships/hyperlink" Target="http://www.grants.gov/web/grants/applicants/apply-for-grants.html" TargetMode="External" /><Relationship Id="rId34" Type="http://schemas.openxmlformats.org/officeDocument/2006/relationships/hyperlink" Target="http://www.ed.gov/fund/grant/apply/appforms/appforms.html"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KM-HSP0-006W-84HF-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7680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71556554</vt:lpwstr>
  </property>
  <property fmtid="{D5CDD505-2E9C-101B-9397-08002B2CF9AE}" pid="3" name="LADocCount">
    <vt:lpwstr>1</vt:lpwstr>
  </property>
  <property fmtid="{D5CDD505-2E9C-101B-9397-08002B2CF9AE}" pid="4" name="UserPermID">
    <vt:lpwstr>urn:user:PA185916758</vt:lpwstr>
  </property>
</Properties>
</file>