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24573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080, Tuesday, April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24573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Performance Partnership Pilots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Partnership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84.420A.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May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Submission of a notice of intent to apply is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Performance Partnership Pilots (P3), first authorized by Congress for FY 2014 by the Consolidated Appropriations Act, 2014 (2014 Appropriations Act) and reauthorized for FY 2015 by the Consolidated and Further Continuing Appropriations Act, 2015 (2015 Appropriations Act) and for FY 2016 by the Consolidated Appropriations Act, 2016 (2016 Appropriations Act) (together, the Acts), enable pilot sites to test innovative, outcome-focused strategies to achieve significant improvements in educational, employment, and other key outcomes for disconnected youth using new flexibility to blend existing Federal funds and to seek waivers of associated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Acts authorize the Departments of Education (ED), Labor (DOL), Health and Human Services (HHS), Housing and Urban Development (HUD), n1 and Justice (DOJ), n2 the Corporation for National and Community Service (CNCS), and the Institute of Museum and Library Services (IMLS) (collectively, the Agencies), to enter into Performance Partnership Agreements (performance agreements) with State, local, or tribal governments to provide additional flexibility in using certain of the Agencies' discretionary funds, n3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formula grant funds, across multiple Federal programs. Entities that seek to participate in these pilots will be required to commit to achieving significant improvements in outcomes for disconnected youth in exchange for this new flexibility. The authorizing statute states that " '[t]o improve outcomes for disconnected youth' means to increase the rate at which individuals between the ages of 14 and 24 (who are low-income and either homeless, in foster care, involved in the juvenile justice system, unemployed, or not enrolled in or at risk of dropping out of an educational institution) achieve success in meeting educational, employment, or other key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2016 Appropriations Act authorizes HUD to enter into performance agreements with respect to FY 2016 Homeless Assistance Grants. HUD is not authorized to enter into performance agreements that will be established under this notice. A notice inviting applications for FY 2016 pilots that may include FY 2016 Homeless Assistance Grants is expected to be issued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DOJ was first authorized to enter into performance agreements by the 2015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Discretionary funds are funds that Congress appropriates on an annual basis, rather than through a standing authorization. They exclude "entitlement" (or mandatory) programs such as Social Security, Medicare, Medicaid, most Foster Care IV-E programs, Vocational Rehabilitation State Grants, and Temporary Assistance to Needy Families (TANF). Discretionary programs administered by the Agencies support a broad set of public services, including education, job training, health and mental health, and other low-income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and community partners have invested considerable attention and resources to meet the needs of disconnected youth. However, practitioners, youth advocates, and others on the front lines of service delivery have observed that flexibility can be a key tool to address certain programmatic and administrative obstacles to achieving meaningful improvements in education, employment, health, and well-being for these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P3 tests the hypothesis that additional flexibility for States, local governments, and tribes, in the form of blending funds and waivers of certain programmatic requirements, can help overcome some of the significant hurdles that States, local governments, and tribes face in providing intensive, comprehensive, and sustained service pathways and improving outcomes for disconnected youth. For example, P3 can be used to better coordinate and align the multiple systems that serve youth. P3 may help address the "wrong pockets" problem, where entities that observe improved outcomes or other benefits due to an intervention are unable to use Federal funds to support that intervention due to program restrictions. P3 flexibility may also allow the testing of an innovative approach to help to build additional evidence about what works. If this hypothesis proves true, providing necessary and targeted flexibility to remove or overcome these hurdles will help to achieve significant benefits for disconnected youth, the communities that serve them, and the involved agencies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of "disconnected youth" specifically identifies several high-need subpopulations of low-income youth, including youth who are homeless, youth in foster care, youth involved in the juvenile justice system, and youth who are unemployed or not in school or at risk of dropping out. We wish to note that there are a number of other high-need subpopulations of disconnected youth who are at risk of dropping out. For example, English learners (ELs) are at great risk of dropping out; the average cohort graduation rate for ELs during the 2013-14 school year was only 62.6 percent, while the national average cohort graduation rate for all youth was 82.3 percent. Similarly, the average cohort graduation rate for youth with a disability receiving special education and related services under the Individuals with Disabilities Education Act (IDEA) was significantly lower than that of youth who did not receive services under IDEA: 63.1 percent during the 2013-14 school year. n4 Immigrants and refugees are another high-need subpopulation at great risk of dropping out. In 2014, the status dropout rate of immigrant youth ages 16 to 24 was 12 percent, compared with 8 percent for children of foreign-born parents, and 6 percent for children with native-born parents. n5 Applicants wishing to serve a subpopulation of disconnected youth at risk of dropping out--such as the examples above--should consider whether that subpopulation faces an elevated risk of dropping out based on sound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EDFacts/Consolidated State Performance Report, School Year 2013-14. Retrieved from </w:t>
      </w:r>
      <w:r>
        <w:rPr>
          <w:rFonts w:ascii="arial" w:eastAsia="arial" w:hAnsi="arial" w:cs="arial"/>
          <w:b w:val="0"/>
          <w:i/>
          <w:strike w:val="0"/>
          <w:noProof w:val="0"/>
          <w:color w:val="000000"/>
          <w:position w:val="0"/>
          <w:sz w:val="20"/>
          <w:u w:val="none"/>
          <w:vertAlign w:val="baseline"/>
        </w:rPr>
        <w:t>nces.ed.gov/ccd/tables/ACGR_RE_and_characteristics_2013-14.asp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Child Trends Data Bank (2015). High School Dropout Rates. Retrieved from </w:t>
      </w:r>
      <w:hyperlink r:id="rId8" w:history="1">
        <w:r>
          <w:rPr>
            <w:rFonts w:ascii="arial" w:eastAsia="arial" w:hAnsi="arial" w:cs="arial"/>
            <w:b w:val="0"/>
            <w:i/>
            <w:strike w:val="0"/>
            <w:noProof w:val="0"/>
            <w:color w:val="0077CC"/>
            <w:position w:val="0"/>
            <w:sz w:val="20"/>
            <w:u w:val="single"/>
            <w:vertAlign w:val="baseline"/>
          </w:rPr>
          <w:t>www.childtrends.org/wp-content/uploads/2014/10/01_Dropout_Rates.pdf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FY 2015 and FY 2016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a second round of pilots as authorized by the 2015 Appropriations Act. That Act extended the P3 authority to allow pilots to include eligible FY 2015 funds from programs at ED, DOL, HHS, CNCS, and IMLS. Applicants may also include FY 2016 funds in their applications, </w:t>
      </w:r>
      <w:r>
        <w:rPr>
          <w:rFonts w:ascii="arial" w:eastAsia="arial" w:hAnsi="arial" w:cs="arial"/>
          <w:b/>
          <w:i w:val="0"/>
          <w:strike w:val="0"/>
          <w:noProof w:val="0"/>
          <w:color w:val="000000"/>
          <w:position w:val="0"/>
          <w:sz w:val="20"/>
          <w:u w:val="none"/>
          <w:vertAlign w:val="baseline"/>
        </w:rPr>
        <w:t> [*24574] </w:t>
      </w:r>
      <w:r>
        <w:rPr>
          <w:rFonts w:ascii="arial" w:eastAsia="arial" w:hAnsi="arial" w:cs="arial"/>
          <w:b w:val="0"/>
          <w:i w:val="0"/>
          <w:strike w:val="0"/>
          <w:noProof w:val="0"/>
          <w:color w:val="000000"/>
          <w:position w:val="0"/>
          <w:sz w:val="20"/>
          <w:u w:val="none"/>
          <w:vertAlign w:val="baseline"/>
        </w:rPr>
        <w:t xml:space="preserve"> including programs funded under DOJ's Office of Justice Programs, n6 due to the authority in the 2016 Appropriations Act. However, if an applicant intends to use solely FY 2016 funds, it is not eligible to be a second-round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Under the language of the 2015 Appropriations Act, applicants may not propose to blend or request any waiver of program requirements associated with FY 2015 funds from DOJ's Office of Justice Programs. However, they may propose to braid those funds in this round of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in addition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intend to publish in the coming months a notice inviting applications for the third round of pilots that propose to use funds appropriated for FY 2016, including FY 2016 funds made available under Homeless Assistance Grants at the Department of Housing and Urban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absolute priorities create separate categories for scoring and considering applications. Because a diverse group of communities could benefit from P3, we include absolute priorities for applications that propose to serve disconnected youth in one or more rural communities only (Absolute Priority 2), applications that propose to serve disconnected youth in one or more Indian tribes (Absolute Priority 3), and applications that propose to serve disconnected youth in other communities (Absolute Priority 1). P3 is intended, through a demonstration, to identify effective strategies for serving disconnected youth. We are aware such strategies may differ across environments and wish to test the authority in a variety of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also including an absolute priority for communities that have experienced recent civil unrest (Absolute Priority 4), consistent with requirements of the 2016 Appropriations Act. n7 Though the economy has recovered strongly in many places, many communities continue to struggle with high youth unemployment, low graduation rates, and crime. These and other continuing challenges can manifest in different instances of civil unrest, such as large protests or instances of civil disobedience increases in self-directed or interpersonal violence in concentrated areas, or civic disorder prompted by a public health emergency. In response to the priority, an applicant should describe the instance(s) of civil unrest, including (1) a description of the civil unrest that occurred in the community or communities it intends to serve; and (2) the date or dates the civil unrest occurred. We include this priority in the FY 2015 P3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hopes that P3 flexibilities, including waivers and the blending and braiding of funds, will empower communities to improve educational and employment outcomes for disconnected youth in these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2016 Appropriations Act states that the FY 2015 cohort of P3 pilots is to include communities that have recently experienced civil unrest.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allow applicants to receive extra points for satisfying certain criteria.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absolute priorities, we also include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serve those disconnected youth who are neither employed nor enrolled in education and who also face significant barriers to accessing education and employment and that are likely to result in significantly better educational or employment outcomes for such youth. Significant barriers to accessing education and employment could include, for example, a disability. An analysis of 2014 Current Population Survey data found that about one-third (34 percent) of youth ages 16 to 24 who were neither employed nor enrolled in school in 2014 reported that illness or disability was a major reason why they did not work.&lt;8&gt; Living in a neighborhood with a high concentration of poverty is another barrier. Research indicates that individuals who reside in high-poverty neighborhoods often have diminished access to employment options and high-quality educational opportunities. n9 Involvement with the justice system is another example of a significant barrier to education and employment for youth who are neither employed nor enrolled in school. Many youth involved with the justice system face significant barriers to accessing the education and training they need to achieve independence and reintegrate into the community because the education and training available to them through correctional facilities, as well as upon release, often does not meet their needs. n10 For older youth involved with the adult criminal justice system, having a criminal record can severely limit the ability to secure employment. n11 Reconnecting these young people to education and employment is a national imperative, and including this priority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will create incentives for applicants and communities to design projects to serve this hard-to-reach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Federal Reserve System and Brookings Institution (2008). The Enduring Challenge of Concentrated Poverty in America: Case Studies from Communities Across the U.S. Washington, DC: Authors. Retrieved from </w:t>
      </w:r>
      <w:hyperlink r:id="rId9" w:history="1">
        <w:r>
          <w:rPr>
            <w:rFonts w:ascii="arial" w:eastAsia="arial" w:hAnsi="arial" w:cs="arial"/>
            <w:b w:val="0"/>
            <w:i/>
            <w:strike w:val="0"/>
            <w:noProof w:val="0"/>
            <w:color w:val="0077CC"/>
            <w:position w:val="0"/>
            <w:sz w:val="20"/>
            <w:u w:val="single"/>
            <w:vertAlign w:val="baseline"/>
          </w:rPr>
          <w:t>www.frbsf.org/community-development/files/cp_fullreport.pdf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for example, Juvenile Justice Students Face Barriers to High School Graduation and Job Training (2010). Report No. 10-55. Tallahassee, FL: Office of Program Policy Analysis and Government Accountability, the Florida Legislature, Retrieved from: </w:t>
      </w:r>
      <w:hyperlink r:id="rId10" w:history="1">
        <w:r>
          <w:rPr>
            <w:rFonts w:ascii="arial" w:eastAsia="arial" w:hAnsi="arial" w:cs="arial"/>
            <w:b w:val="0"/>
            <w:i/>
            <w:strike w:val="0"/>
            <w:noProof w:val="0"/>
            <w:color w:val="0077CC"/>
            <w:position w:val="0"/>
            <w:sz w:val="20"/>
            <w:u w:val="single"/>
            <w:vertAlign w:val="baseline"/>
          </w:rPr>
          <w:t>www.oppaga.state.fl.us/MonitorDocs/Reports/pdf/1055rpt.pdf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for example, Pager, D.P. and Western, B. (2009). Investigating Prisoner Reentry: The Impact of Conviction Status on the Employment Prospects of Young Men: Final Report to the National Institute of Justice. Document No.: 228584. Retrieved from: </w:t>
      </w:r>
      <w:hyperlink r:id="rId11" w:history="1">
        <w:r>
          <w:rPr>
            <w:rFonts w:ascii="arial" w:eastAsia="arial" w:hAnsi="arial" w:cs="arial"/>
            <w:b w:val="0"/>
            <w:i/>
            <w:strike w:val="0"/>
            <w:noProof w:val="0"/>
            <w:color w:val="0077CC"/>
            <w:position w:val="0"/>
            <w:sz w:val="20"/>
            <w:u w:val="single"/>
            <w:vertAlign w:val="baseline"/>
          </w:rPr>
          <w:t>www.ncjrs.gov/pdffiles1/nij/grants/228584.pdf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provide all disconnected youth served by the project with paid work-based learning opportunities because addressing the employment needs of disconnected youth is critical to improving their well-being and preparing them for lives as productive adults. We note as well that new evidence indicates that the benefits of work-based learning opportunities extend beyond improving the employment outcomes of youth. A recent evaluation of the summer work and learning opportunity program offered by New York City for youth ages 14 through 21, which selected participants using a randomized lottery, found that, within five to eight years after participation, the incarceration and mortality rates of participants were significantly lower than those of their peers who were not selected to participate in the program. n12 For youth who are not enrolled in school, year-round employment, and not just employment during the summer, is critically important. The work-based learning opportunities must be integrated with academic and technical instruction because research suggests that work experience must be combined with academic and technical training in order to have a positive impact on the employment and earnings outcomes of youth.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Gelber, A., Isen, A. and Kessler, J.B. (2014). The Effects of Youth Employment: Evidence from New York City Summer Youth Employment. Program Lotteries. NBER Working Paper No. 20810. Cambridge, MA: National Bureau of Economic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Sattar, S. (2010). Evidence Scan of Work Experience Programs. Oakland, CA: Mathematica Policy Research. See also Roder, A. and Elliott, M. (2014). Sustained Gains: Year-Up's Continued Impact on Young Adults' Earnings. New York, NY: Economic Mobility Corporation, Inc.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w:t>
      </w:r>
      <w:r>
        <w:rPr>
          <w:rFonts w:ascii="arial" w:eastAsia="arial" w:hAnsi="arial" w:cs="arial"/>
          <w:b/>
          <w:i w:val="0"/>
          <w:strike w:val="0"/>
          <w:noProof w:val="0"/>
          <w:color w:val="000000"/>
          <w:position w:val="0"/>
          <w:sz w:val="20"/>
          <w:u w:val="none"/>
          <w:vertAlign w:val="baseline"/>
        </w:rPr>
        <w:t> [*24575] </w:t>
      </w:r>
      <w:r>
        <w:rPr>
          <w:rFonts w:ascii="arial" w:eastAsia="arial" w:hAnsi="arial" w:cs="arial"/>
          <w:b w:val="0"/>
          <w:i w:val="0"/>
          <w:strike w:val="0"/>
          <w:noProof w:val="0"/>
          <w:color w:val="000000"/>
          <w:position w:val="0"/>
          <w:sz w:val="20"/>
          <w:u w:val="none"/>
          <w:vertAlign w:val="baseline"/>
        </w:rPr>
        <w:t xml:space="preserve"> projects that are designed to serve and coordinate with a federally designated Promise Zone. Promise Zone designees have committed to establishing comprehensive, coordinated approaches in order to ensure that America's most vulnerable children succeed from cradle to career. Thirteen Promise Zones have been designated. They are located in: The Choctaw Nation of Oklahoma; Los Angeles, California; Sacramento, California; Hartford, Connecticut; Indianapolis, Indiana; the Kentucky Highlands in Kentucky; Minneapolis, Minnesota; St. Louis and St. Louis County, Missouri; Camden, New Jersey; Philadelphia, Pennsylvania; Barnwell, South Carolina; Porcupine, South Dakota; and San Antonio, Texas. Additional Promise Zones are expected to be designated later this year. The Promise Zone designation is designed to assist local leaders in creating jobs, increasing economic activity, improving educational opportunities, leveraging private investment, and reducing violent crime in high-poverty urban, rural, and tribal communities.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For additional information on Promise Zones, see </w:t>
      </w:r>
      <w:hyperlink r:id="rId12" w:history="1">
        <w:r>
          <w:rPr>
            <w:rFonts w:ascii="arial" w:eastAsia="arial" w:hAnsi="arial" w:cs="arial"/>
            <w:b w:val="0"/>
            <w:i/>
            <w:strike w:val="0"/>
            <w:noProof w:val="0"/>
            <w:color w:val="0077CC"/>
            <w:position w:val="0"/>
            <w:sz w:val="20"/>
            <w:u w:val="single"/>
            <w:vertAlign w:val="baseline"/>
          </w:rPr>
          <w:t>www.whitehouse.gov/the-press-office/2014/01/08/fact-sheet-president-obama-s-promise-zones-initiative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applicants that plan to conduct independent impact evaluations of at least one service-delivery or operational component of their pilots (site-specific evaluation), in addition to participating in any national P3 evaluation, which is discussed in the </w:t>
      </w: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section of this notice. In proposing these site-specific impact evaluations, applicants should use the strongest possible designs and research methods and use high-quality administrative data in order to maximize confidence in the evaluation findings and minimize the costs of conducting these evaluations. Federal start-up funds and blended funds may be used to finance these evaluations.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two invitational priorities. Absolute Priorities 1, 2 and 3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4 are from the notice of final priorities, requirements, definitions, and selection criteria for this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(P3 NFP). Absolute Priority 4 is from section 525(b) of Division H of the 2016 Appropriations 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notice of final priority--Promise Zones,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3"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(Promise Zones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considered absolute priorities for FY 2015 and any subsequent year for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2, 3, or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indicate in their application which absolute priority they are applying under. If an applicant applies under Absolute Priorities 2, 3, or 4, but is not eligible under that absolute priority, the applicant will still be considered for funding under Absolute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1--Improving Outcomes for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Outcomes for Disconnected Youth in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 in one or more rural communities (as defined in this notice)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should describe in its application how it meets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3--Improving Outcomes for Disconnected Youth in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(1) propose a pilot that is designed to improve outcomes for disconnected youth who are members of one or more State- or federally-recognized Indian tribal communities; and (2) represent a partnership that includes one or more State- or federally-recognized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4--Improving Outcomes for Disconnected Youth in Communities that Have Recently Experienced Civil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 in one or more communities that have recently experienced civil unrest.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for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five points to an application based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and up to an additional 10 points to an application based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address more than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identify in the in the Appendix section of its application, under "Other Attachments Form," the priority or priorities it addresses.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1--Improving Outcomes for Youth Who Are Unemployed and Out of School</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neither employed nor enrolled in education and who face significant barriers to accessing education and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2--Work-Based Learning Opportunities</w:t>
      </w:r>
      <w:r>
        <w:rPr>
          <w:rFonts w:ascii="arial" w:eastAsia="arial" w:hAnsi="arial" w:cs="arial"/>
          <w:b w:val="0"/>
          <w:i w:val="0"/>
          <w:strike w:val="0"/>
          <w:noProof w:val="0"/>
          <w:color w:val="000000"/>
          <w:position w:val="0"/>
          <w:sz w:val="20"/>
          <w:u w:val="none"/>
          <w:vertAlign w:val="baseline"/>
        </w:rPr>
        <w:t xml:space="preserve">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will provide all of the disconnected youth it proposes to serve with paid work-based learning opportunities, such as opportunities during the summer, which are integrated with academic and technical instruction.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3--Promise Zones</w:t>
      </w:r>
      <w:r>
        <w:rPr>
          <w:rFonts w:ascii="arial" w:eastAsia="arial" w:hAnsi="arial" w:cs="arial"/>
          <w:b w:val="0"/>
          <w:i w:val="0"/>
          <w:strike w:val="0"/>
          <w:noProof w:val="0"/>
          <w:color w:val="000000"/>
          <w:position w:val="0"/>
          <w:sz w:val="20"/>
          <w:u w:val="none"/>
          <w:vertAlign w:val="baseline"/>
        </w:rPr>
        <w:t xml:space="preserve">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are designed to serve and coordinate with a federally designated Promise Zone.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4--Site-Specific Evaluation</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propose to conduct an independent evaluation of the impacts on disconnected youth of its overall program or specific components of its program that is a randomized controlled trial or a quasi-experimental design study. The extent to which an applicant meets this priority will be based on the clarity and feasibility of the applicant's proposed evaluation design, the appropriateness of the design to best capture key pilot outcomes, the prospective contribution of the evaluation to the knowledge base about serving disconnected youth (including the rigor of the design and the validity and generalizability of the findings), and the applicant's demonstrated expertise in planning and conducting a </w:t>
      </w:r>
      <w:r>
        <w:rPr>
          <w:rFonts w:ascii="arial" w:eastAsia="arial" w:hAnsi="arial" w:cs="arial"/>
          <w:b/>
          <w:i w:val="0"/>
          <w:strike w:val="0"/>
          <w:noProof w:val="0"/>
          <w:color w:val="000000"/>
          <w:position w:val="0"/>
          <w:sz w:val="20"/>
          <w:u w:val="none"/>
          <w:vertAlign w:val="baseline"/>
        </w:rPr>
        <w:t> [*24576] </w:t>
      </w:r>
      <w:r>
        <w:rPr>
          <w:rFonts w:ascii="arial" w:eastAsia="arial" w:hAnsi="arial" w:cs="arial"/>
          <w:b w:val="0"/>
          <w:i w:val="0"/>
          <w:strike w:val="0"/>
          <w:noProof w:val="0"/>
          <w:color w:val="000000"/>
          <w:position w:val="0"/>
          <w:sz w:val="20"/>
          <w:u w:val="none"/>
          <w:vertAlign w:val="baseline"/>
        </w:rPr>
        <w:t xml:space="preserve"> randomized controlled trial or quasi-experimental evaluation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priority, an applicant also must include the following two documents as separate attachments to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Summary Evaluation Plan that describes how the pilot or a component of the pilot (such as a discrete service-delivery strategy) will be rigorously evaluated. The evaluation plan may not exceed eight pages. The plan must include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research question(s) proposed for study and an explanation of its/their relevance, including how the proposed evaluation will build on the research evidence base for the project as described in the application and how the evaluation findings will be used to improve program implementation;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randomized controlled trial or quasi-experimental design study methodology, including the key outcome measures, the process for forming a comparison or control group, a justification for the target sample size and strategy for achieving it, and the approach to data collection (and sources) that minimizes both cost and potential attrition;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evaluation timeline, including dates for submission of required interim and final reports;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to the extent feasible and consistent with applicable Federal, State, local, and tribal privacy requirements, evaluation data will be made available to other, third-party researchers after the project ends;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selecting and procuring the services of a qualified independent evaluator (as defined in this notice) prior to enrolling participants (or a description of how one was selected if agreements have already been reached). The applicant must describe how it will ensure that the qualified independent evaluator has the capacity and expertise to conduct the evaluation, including estimating the effort for the qualified independent evaluator. This estimate must include the time, expertise, and analysis needed to successfully complete the proposed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supplementary Evaluation Budget Narrative, which is separate from the overall application budget narrative and provides a description of the costs associated with funding the proposed program evaluation component, and an explanation of its funding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blended funding, start-up funding, State, local, or tribal government funding, or other funding (such as philanthropic). The budget must include a breakout of costs by evaluation activity (such as data collection and participant follow-up), and the applicant must describe a strategy for refining the budget after the services of an evaluator have been procured. The applicant must include travel costs for the qualified independent evaluator to attend at least one in-person conference in Washington, DC during the period of evaluation. All costs included in this supplementary budget narrative must be reasonable and appropriate to the project timeline and deliverables.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will review the Summary Evaluation Plans and Evaluation Budget Narratives and provide feedback to applicants that are determined to have met the priority and that are selected as pilots. After award, these pilots must submit to the lead Federal agency a detailed evaluation plan of no more than 30 pages that relies heavily on the expertise of a qualified independent evaluator. The detailed evaluation plan must address the Agencies' feedback and expand on the Summary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14"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1--Improving Outcomes for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homeless youth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2--Improving Outcomes for Youth Involved in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involved in the justice system;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P3 NFP. Any application that does not include the required documents or information will not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Executive Summary.</w:t>
      </w:r>
      <w:r>
        <w:rPr>
          <w:rFonts w:ascii="arial" w:eastAsia="arial" w:hAnsi="arial" w:cs="arial"/>
          <w:b w:val="0"/>
          <w:i w:val="0"/>
          <w:strike w:val="0"/>
          <w:noProof w:val="0"/>
          <w:color w:val="000000"/>
          <w:position w:val="0"/>
          <w:sz w:val="20"/>
          <w:u w:val="none"/>
          <w:vertAlign w:val="baseline"/>
        </w:rPr>
        <w:t xml:space="preserve"> The applicant must provide an executive summary that briefly describes the proposed pilot, the flexibilities being sought, and the interventions or systems changes that would be implemented by the applicant and its partners to improve outcomes for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Target Population.</w:t>
      </w:r>
      <w:r>
        <w:rPr>
          <w:rFonts w:ascii="arial" w:eastAsia="arial" w:hAnsi="arial" w:cs="arial"/>
          <w:b w:val="0"/>
          <w:i w:val="0"/>
          <w:strike w:val="0"/>
          <w:noProof w:val="0"/>
          <w:color w:val="000000"/>
          <w:position w:val="0"/>
          <w:sz w:val="20"/>
          <w:u w:val="none"/>
          <w:vertAlign w:val="baseline"/>
        </w:rPr>
        <w:t xml:space="preserve"> The applicant must complete Table 1, specifying the target population(s) for the pilot, including the age range of youth who will be served and the estimated number of youth who will be served over the course of the pilot.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1--Target Population</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 range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youth</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the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course of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pilot</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Flexibility, including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requests for flexibility, including waivers.</w:t>
      </w:r>
      <w:r>
        <w:rPr>
          <w:rFonts w:ascii="arial" w:eastAsia="arial" w:hAnsi="arial" w:cs="arial"/>
          <w:b w:val="0"/>
          <w:i w:val="0"/>
          <w:strike w:val="0"/>
          <w:noProof w:val="0"/>
          <w:color w:val="000000"/>
          <w:position w:val="0"/>
          <w:sz w:val="20"/>
          <w:u w:val="none"/>
          <w:vertAlign w:val="baseline"/>
        </w:rPr>
        <w:t xml:space="preserve"> For each program to be included in a pilot, the applicant must complete Table 2, Requested Flexibility. The applicant must identify two or more discretionary Federal programs that will be included in the pilot, at least one of which must be administered (in whole or in part) by a State, local, or tribal government. n15 The applicant must identify one or more program requirements that would inhibit implementation of the pilot and request that the requirement(s) be waived in whole or in part. Examples of potential waiver requests and other requests for flexibility include, but are not limited to: Blending of funds and changes to align eligibility requirements, allowable uses of funds, and performance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Local governments that are requesting waivers of requirements in State-administered programs are strongly encouraged to consult with the State agencies that administer the programs in preparing their applications. </w:t>
      </w:r>
      <w:r>
        <w:rPr>
          <w:rFonts w:ascii="arial" w:eastAsia="arial" w:hAnsi="arial" w:cs="arial"/>
          <w:b/>
          <w:i w:val="0"/>
          <w:strike w:val="0"/>
          <w:noProof w:val="0"/>
          <w:color w:val="000000"/>
          <w:position w:val="0"/>
          <w:sz w:val="20"/>
          <w:u w:val="none"/>
          <w:vertAlign w:val="baseline"/>
        </w:rPr>
        <w:t> [*24577]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2--Requested Flexibility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name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 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be waived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whole 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part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Please note in "Name of Program Grantee" if the grantee is a State, local, or tribal government, or non-governmental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Non-Federal flexibility, including waivers.</w:t>
      </w:r>
      <w:r>
        <w:rPr>
          <w:rFonts w:ascii="arial" w:eastAsia="arial" w:hAnsi="arial" w:cs="arial"/>
          <w:b w:val="0"/>
          <w:i w:val="0"/>
          <w:strike w:val="0"/>
          <w:noProof w:val="0"/>
          <w:color w:val="000000"/>
          <w:position w:val="0"/>
          <w:sz w:val="20"/>
          <w:u w:val="none"/>
          <w:vertAlign w:val="baseline"/>
        </w:rPr>
        <w:t xml:space="preserve"> The applicant must provide written assurance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State, local, or tribal government(s) with authority to grant any needed non-Federal flexibility, including waivers, has approved or will approve such flexibility within 60 days of an applicant's designation as a pilot finalist; n16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This includes, for example, for local governments, instances in which a waiver must be agreed upon by a State. It also includes instances in which waivers may only be requested by the State on the local government's behalf, such as waivers of the performance accountability requirements for local areas established in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Non-Federal flexibility, including waivers, is not needed in order to successfully implement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The applicant must provide a graphic depiction (not longer than one page) of the pilot's logic model that illustrates the underlying theory of how the pilot's strategy will produce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Partnership Capacity and Management.</w:t>
      </w:r>
      <w:r>
        <w:rPr>
          <w:rFonts w:ascii="arial" w:eastAsia="arial" w:hAnsi="arial" w:cs="arial"/>
          <w:b w:val="0"/>
          <w:i w:val="0"/>
          <w:strike w:val="0"/>
          <w:noProof w:val="0"/>
          <w:color w:val="000000"/>
          <w:position w:val="0"/>
          <w:sz w:val="20"/>
          <w:u w:val="none"/>
          <w:vertAlign w:val="baseline"/>
        </w:rPr>
        <w:t xml:space="preserve">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the proposed partners, including any and all State, local, and tribal entities and non-governmental organizations that would be involved in implementation of the pilot, and describe their roles in the pilot's implementation using Table 3. Partnerships that cross programs and funding sources but are under the jurisdiction of a single agency or entity must identify the different sub-organizational units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a memorandum of understanding or letter of commitment signed by the executive leader or other accountable senior representative of each partner that describes each proposed partner's commitment, including its contribution of financial or in-kind resources (if any).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3--Pilot Partners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Partner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Organization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Partner's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agency, local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Role in the Pilot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 community-based</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 business)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Any grantees mentioned in Table 2 that are not the lead applicant must be included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Data and Performance Management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propose outcome measures and interim indicators to gauge pilot performance using Table 4. At least one outcome measure must be in the domain of education, and at least one outcome measure must be in the domain of employment. Applicants may specify additional employment and education outcome measures, as well as outcome measures in other domains of well-being, such as criminal justice, physical and mental health, and housing. Regardless of the outcome domain, applicants must identify at least one interim indicator for each proposed outcome measure. Applicants may apply one interim indicator to multiple outcome measures,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outcome measures and interim indicators follow. Applicants may choose from this menu or may propose alternative indicators and outcome measures if they describe why their alternatives are more appropriate for their proposed projects.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 Domain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school diploma or equivalency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school enrollment.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attainment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 in chronic absenteeism.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Grade promotion.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Performance on standardized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Grade Point Average.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Credit accumulation.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completion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Enrollment.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Course attendance.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Credit accumulation.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Retention.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Domain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Sustained Employment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Unsubsidized employment at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 after exit from the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Median earnings at time periods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exit from the program.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outcome measures and interim indicators the applicant uses should be grounded in its logic model, and informed by applicable program results or research, as appropriate. Applicants must also indicate the source of the data, the proposed frequency of collection, and the methodology used to collect the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4--Outcome Measures and Interim Indicators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Collection: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 and Budget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must complete Table 5 to provide the following budget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each Federal program, the grantee, the amount of funds to be blended or braided, the percentage of total program funding received by the grantee that the amount to be blended or braided represents, the Federal fiscal year of the award, and whether the grant has already been awarded;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total amount of funds from all Federal programs that would be blended or braided under the pilot.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5--Federal Funds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name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 to be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already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award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Blended</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name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 to be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already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grantee's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award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Braided</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Applicants may propose to expand the number of Federal programs supporting pilot activities using future funding beyond FY 2016, which may be included in pilots if Congress extends the P3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National evaluation.</w:t>
      </w:r>
      <w:r>
        <w:rPr>
          <w:rFonts w:ascii="arial" w:eastAsia="arial" w:hAnsi="arial" w:cs="arial"/>
          <w:b w:val="0"/>
          <w:i w:val="0"/>
          <w:strike w:val="0"/>
          <w:noProof w:val="0"/>
          <w:color w:val="000000"/>
          <w:position w:val="0"/>
          <w:sz w:val="20"/>
          <w:u w:val="none"/>
          <w:vertAlign w:val="baseline"/>
        </w:rPr>
        <w:t xml:space="preserve"> In addition to any site-specific evaluations that pilots may undertake, the Agencies may initiate a national P3 evaluation of the pilots selected in Round 2, as well as those selected in subsequent rounds. n17 </w:t>
      </w:r>
      <w:r>
        <w:rPr>
          <w:rFonts w:ascii="arial" w:eastAsia="arial" w:hAnsi="arial" w:cs="arial"/>
          <w:b/>
          <w:i w:val="0"/>
          <w:strike w:val="0"/>
          <w:noProof w:val="0"/>
          <w:color w:val="000000"/>
          <w:position w:val="0"/>
          <w:sz w:val="20"/>
          <w:u w:val="none"/>
          <w:vertAlign w:val="baseline"/>
        </w:rPr>
        <w:t> [*24579] </w:t>
      </w:r>
      <w:r>
        <w:rPr>
          <w:rFonts w:ascii="arial" w:eastAsia="arial" w:hAnsi="arial" w:cs="arial"/>
          <w:b w:val="0"/>
          <w:i w:val="0"/>
          <w:strike w:val="0"/>
          <w:noProof w:val="0"/>
          <w:color w:val="000000"/>
          <w:position w:val="0"/>
          <w:sz w:val="20"/>
          <w:u w:val="none"/>
          <w:vertAlign w:val="baseline"/>
        </w:rPr>
        <w:t xml:space="preserve"> Each P3 pilot must participate fully in any federally sponsored P3 evaluation activity, including the national evaluation of P3, which will consist of the analysis of participant characteristics and outcomes, an implementation analysis at all sites, and rigorous impact evaluations of promising interventions in selected sites. The applicant must acknowledge in writing its understanding of these requirements by submitting the form provided in Appendix A, "Evaluation Commitment Form," as an attachment to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initiation of any federally sponsored national P3 evaluation activities is dependent upon the availability of sufficient funds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All P3 pilots must participate in a community of practice (as defined in this notice) that includes an annual in-person meeting of pilot sites (paid with grant funding that must be reflected in the pilot budget submitted) and virtual peer-to-peer learning activities. This commitment involves each pilot site working with the lead Federal agency on a plan for supporting its technical assistance needs, which can include learning activities supported by foundations or other non-Federal organizations as well as activities financed with Federal funds for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Consent.</w:t>
      </w:r>
      <w:r>
        <w:rPr>
          <w:rFonts w:ascii="arial" w:eastAsia="arial" w:hAnsi="arial" w:cs="arial"/>
          <w:b w:val="0"/>
          <w:i w:val="0"/>
          <w:strike w:val="0"/>
          <w:noProof w:val="0"/>
          <w:color w:val="000000"/>
          <w:position w:val="0"/>
          <w:sz w:val="20"/>
          <w:u w:val="none"/>
          <w:vertAlign w:val="baseline"/>
        </w:rPr>
        <w:t xml:space="preserve"> P3 pilots must secure necessary consent from parents, guardians, students, or youth program participants to access data for their pilots and any evaluations, in accordance with applicable Federal, State, local, and tribal laws. Applicants must explain how they propose to ensure compliance with Federal, State, local, and tribal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pilot partners share data to support effective coordination of services and link data to track outcome measures and interim indicators at the individual level to perform, where applicable, a low-cost, high-quality evaluation.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To the extent feasible and consistent with applicable privacy requirements, grantees must also ensure the data from their evaluations are made available to third-party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agreement.</w:t>
      </w:r>
      <w:r>
        <w:rPr>
          <w:rFonts w:ascii="arial" w:eastAsia="arial" w:hAnsi="arial" w:cs="arial"/>
          <w:b w:val="0"/>
          <w:i w:val="0"/>
          <w:strike w:val="0"/>
          <w:noProof w:val="0"/>
          <w:color w:val="000000"/>
          <w:position w:val="0"/>
          <w:sz w:val="20"/>
          <w:u w:val="none"/>
          <w:vertAlign w:val="baseline"/>
        </w:rPr>
        <w:t xml:space="preserve"> Each P3 pilot, along with other non-Federal government entities involved in the partnership, must enter into a performance agreement that will include, at a minimum, the following (as required by section 526(c)(2) of Division H of the 2014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length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Federal programs and federally funded services that are involved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Federal discretionary funds that are being used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non-Federal funds that are involved in the pilot, by source (which may include private funds as well as governmental funds) and by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State, local, or tribal programs that are involved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populations to be served by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cost-effective Federal oversight procedures that will be used for the purpose of maintaining the necessary level of accountability for the use of the Federal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cost-effective State, local, or tribal oversight procedures that will be used for the purpose of maintaining the necessary level of accountability for the use of the Federal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outcome (or outcomes) that the pilot is designed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appropriate, reliable, and objective outcome-measurement methodology that will be used to determine whether the pilot is achieving, and has achieved, specified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statutory, regulatory, or administrative requirements related to Federal mandatory programs that are barriers to achieving improved outcomes of the pilot;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Criteria for determining when a pilot is not achieving the specified outcomes that it is designed to achieve and subsequent steps,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consequences that will result;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corrective actions that will be taken in order to increase the likelihood that the pilot will achieve such specified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advised that the Agencies expect to make the performance agreements available to the public.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P3 NFP, the 2014 Appropriations Act, and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Blended funding</w:t>
      </w:r>
      <w:r>
        <w:rPr>
          <w:rFonts w:ascii="arial" w:eastAsia="arial" w:hAnsi="arial" w:cs="arial"/>
          <w:b w:val="0"/>
          <w:i w:val="0"/>
          <w:strike w:val="0"/>
          <w:noProof w:val="0"/>
          <w:color w:val="000000"/>
          <w:position w:val="0"/>
          <w:sz w:val="20"/>
          <w:u w:val="none"/>
          <w:vertAlign w:val="baseline"/>
        </w:rPr>
        <w:t xml:space="preserve"> is a funding and resource allocation strategy that uses multiple existing funding streams to support a single initiative or strategy. Blended funding merges two or more funding streams, or portions of multiple funding streams, to produce greater efficiency and/or effectiveness. Funds from each individual stream lose their award-specific identity, and the blended funds together become subject to a single set of reporting and other requirements, consistent with the underlying purposes of the programs for which the funds were appropriated.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Braided funding</w:t>
      </w:r>
      <w:r>
        <w:rPr>
          <w:rFonts w:ascii="arial" w:eastAsia="arial" w:hAnsi="arial" w:cs="arial"/>
          <w:b w:val="0"/>
          <w:i w:val="0"/>
          <w:strike w:val="0"/>
          <w:noProof w:val="0"/>
          <w:color w:val="000000"/>
          <w:position w:val="0"/>
          <w:sz w:val="20"/>
          <w:u w:val="none"/>
          <w:vertAlign w:val="baseline"/>
        </w:rPr>
        <w:t xml:space="preserve"> is a funding and resource allocation strategy in which entities use existing funding streams to support unified initiatives in as flexible and integrated a manner as possible while still tracking and maintaining separate accountability for each funding stream. One or more entities may coordinate several funding sources, but each individual funding stream maintains its award-specific identity. Whereas blending funds typically requires one or more waivers of associated program requirements, braiding does not. However, waivers may be used to support more effective or efficient braiding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means a group of pilots that agrees to interact regularly to solve persistent problems or improve practice in an area that is important to them and the success of their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has limited ability in reading, writing, speaking, or comprehending the English language,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Whose native language is a language other than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lives in a family or community environment where a language other than English is the dominant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Evidence-informed interventions</w:t>
      </w:r>
      <w:r>
        <w:rPr>
          <w:rFonts w:ascii="arial" w:eastAsia="arial" w:hAnsi="arial" w:cs="arial"/>
          <w:b w:val="0"/>
          <w:i w:val="0"/>
          <w:strike w:val="0"/>
          <w:noProof w:val="0"/>
          <w:color w:val="000000"/>
          <w:position w:val="0"/>
          <w:sz w:val="20"/>
          <w:u w:val="none"/>
          <w:vertAlign w:val="baseline"/>
        </w:rPr>
        <w:t xml:space="preserve"> bring together the best available research, professional expertise, and input from youth and families to identify and deliver services that have promise to achieve positive outcomes for youth, families, and communities.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youth</w:t>
      </w:r>
      <w:r>
        <w:rPr>
          <w:rFonts w:ascii="arial" w:eastAsia="arial" w:hAnsi="arial" w:cs="arial"/>
          <w:b w:val="0"/>
          <w:i w:val="0"/>
          <w:strike w:val="0"/>
          <w:noProof w:val="0"/>
          <w:color w:val="000000"/>
          <w:position w:val="0"/>
          <w:sz w:val="20"/>
          <w:u w:val="none"/>
          <w:vertAlign w:val="baseline"/>
        </w:rPr>
        <w:t xml:space="preserve"> has the same meaning as "homeless children and youths" in section 725(2) of the McKinney-Vento Education for Homeless Children and Youth Act of 2001 (</w:t>
      </w:r>
      <w:hyperlink r:id="rId16"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interim indicator</w:t>
      </w:r>
      <w:r>
        <w:rPr>
          <w:rFonts w:ascii="arial" w:eastAsia="arial" w:hAnsi="arial" w:cs="arial"/>
          <w:b w:val="0"/>
          <w:i w:val="0"/>
          <w:strike w:val="0"/>
          <w:noProof w:val="0"/>
          <w:color w:val="000000"/>
          <w:position w:val="0"/>
          <w:sz w:val="20"/>
          <w:u w:val="none"/>
          <w:vertAlign w:val="baseline"/>
        </w:rPr>
        <w:t xml:space="preserve"> is a marker of achievement that demonstrates progress toward an outcome and is measured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Interventions based on evidence</w:t>
      </w:r>
      <w:r>
        <w:rPr>
          <w:rFonts w:ascii="arial" w:eastAsia="arial" w:hAnsi="arial" w:cs="arial"/>
          <w:b w:val="0"/>
          <w:i w:val="0"/>
          <w:strike w:val="0"/>
          <w:noProof w:val="0"/>
          <w:color w:val="000000"/>
          <w:position w:val="0"/>
          <w:sz w:val="20"/>
          <w:u w:val="none"/>
          <w:vertAlign w:val="baseline"/>
        </w:rPr>
        <w:t xml:space="preserve"> are approaches to prevention or treatment that are validated by documented scientific evidence from randomized controlled trials, or quasi-experimental design studies or correlational studies, and that show positive effects (for randomized controlled trials and quasi-experimental design studies) or favorable associations (for correlational studies) on the primary targeted outcomes for populations or settings similar to those of the proposed pilot. The best evidence to support an applicant's proposed reform(s) and target population will be based on one or more randomized controlled trials. The next best evidence will be studies using a quasi-experimental design. Correlational analysis may also be used as evidence to support an applicant's proposed reforms. </w:t>
      </w:r>
      <w:r>
        <w:rPr>
          <w:rFonts w:ascii="arial" w:eastAsia="arial" w:hAnsi="arial" w:cs="arial"/>
          <w:b/>
          <w:i w:val="0"/>
          <w:strike w:val="0"/>
          <w:noProof w:val="0"/>
          <w:color w:val="000000"/>
          <w:position w:val="0"/>
          <w:sz w:val="20"/>
          <w:u w:val="none"/>
          <w:vertAlign w:val="baseline"/>
        </w:rPr>
        <w:t> [*24580]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are the intended results of a program, or intervention. They are what applicants expect their projects to achieve. An outcome can be measured at the participant level (for example, changes in employment retention or earnings of disconnected youth) or at the system level (for example, improved efficiency in program operations or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qualified independent evaluator</w:t>
      </w:r>
      <w:r>
        <w:rPr>
          <w:rFonts w:ascii="arial" w:eastAsia="arial" w:hAnsi="arial" w:cs="arial"/>
          <w:b w:val="0"/>
          <w:i w:val="0"/>
          <w:strike w:val="0"/>
          <w:noProof w:val="0"/>
          <w:color w:val="000000"/>
          <w:position w:val="0"/>
          <w:sz w:val="20"/>
          <w:u w:val="none"/>
          <w:vertAlign w:val="baseline"/>
        </w:rPr>
        <w:t xml:space="preserve"> is an individual who coordinates with the grantee and the lead Federal agency for the pilot, but works independently on the evaluation and has the capacity to carry out the evaluation, including, but not limited to: Prior experience conducting evaluations of similar design (for example, for randomized controlled trials, the evaluator will have successfully conducted a randomized controlled trial in the past); positive past performance on evaluations of a similar design, as evidenced by past performance reviews submitted from past clients directly to the awardee; lead staff with prior experience carrying out a similar evaluation; lead staff with minimum credential (such as a Ph.D. plus three years of experience conducting evaluations of a similar nature, or a Master's degree plus seven years of experience conducting evaluations of a similar nature); and adequate staff time to work on the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(as defined in this notice)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(as defined in this notice)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rural community</w:t>
      </w:r>
      <w:r>
        <w:rPr>
          <w:rFonts w:ascii="arial" w:eastAsia="arial" w:hAnsi="arial" w:cs="arial"/>
          <w:b w:val="0"/>
          <w:i w:val="0"/>
          <w:strike w:val="0"/>
          <w:noProof w:val="0"/>
          <w:color w:val="000000"/>
          <w:position w:val="0"/>
          <w:sz w:val="20"/>
          <w:u w:val="none"/>
          <w:vertAlign w:val="baseline"/>
        </w:rPr>
        <w:t xml:space="preserve"> is a community that is served only by one or more local educational agencies (LEAs) that are currently eligible under the Department of Education's Small, Rural School Achievement (SRSA) program or the Rural and Low-Income School (RLIS) program authorized under the Elementary and Secondary Education Act of 1965 (ESEA), as amended, or includes only schools designated by the National Center for Education Statistics (NCES) with a locale code of 42 or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provides flexibility in the form of relief, in whole or in part, from specific statutory, regulatory, or administrative requirements that have hindered the ability of a State, locality, or tribe to organize its programs and systems or provide services in ways that best meet the needs of its target populations. Under P3, waivers provide flexibility in exchange for a pilot's commitment to improve programmatic outcomes for disconnected youth consistent with underlying statutory authorities and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524 of Division G and section 219 of Division B of the 2015 Appropriations Act and Section 219 of Division B and section 525 of Division H of the 2016 Appropriations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and such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Agencies may apply based on the programs included in a particular pilot.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Promise Zones NFP. (e) The P3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Up to $ 3,050,000.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$ 250,000 to $ 350,000.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w:t>
      </w:r>
      <w:r>
        <w:rPr>
          <w:rFonts w:ascii="arial" w:eastAsia="arial" w:hAnsi="arial" w:cs="arial"/>
          <w:b w:val="0"/>
          <w:i w:val="0"/>
          <w:strike w:val="0"/>
          <w:noProof w:val="0"/>
          <w:color w:val="000000"/>
          <w:position w:val="0"/>
          <w:sz w:val="20"/>
          <w:u w:val="none"/>
          <w:vertAlign w:val="baseline"/>
        </w:rPr>
        <w:t xml:space="preserve"> $ 300,000.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Agencies are not bound by any estimates in this notice. ED may supplement one or more awards above the amount requested in the application if funds remain after ED has made awards to all of the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Not to extend beyond September 30,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lead applicant must be a State, local, or tribal government entity, represented by a Chief Executive, such as a governor, mayor, or other elected leader, or the head of a State, local, or tribal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Cost-Sharing or Matching:</w:t>
      </w:r>
      <w:r>
        <w:rPr>
          <w:rFonts w:ascii="arial" w:eastAsia="arial" w:hAnsi="arial" w:cs="arial"/>
          <w:b w:val="0"/>
          <w:i w:val="0"/>
          <w:strike w:val="0"/>
          <w:noProof w:val="0"/>
          <w:color w:val="000000"/>
          <w:position w:val="0"/>
          <w:sz w:val="20"/>
          <w:u w:val="none"/>
          <w:vertAlign w:val="baseline"/>
        </w:rPr>
        <w:t xml:space="preserve"> This program does not require cost-sharing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75.708(b) and (c) a grantee may award subgrants--to directly carry out project activities described in its application--to the following types of entities: State governmental agencies; local governmental agencies, including local educational agencies; tribal governmental agencies; institutions of higher education; and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Marilyn Fountain, U.S. Department of Education, 400 Maryland Avenue SW., room 11026, PCP, Washington, DC 20202. Telephone: (202) 245-7346. Email address: </w:t>
      </w:r>
      <w:hyperlink r:id="rId17"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Rosanne Andre, U.S. Department of Education, 400 Maryland Avenue SW., room 11070, PCP, Washington, DC 20202. Telephone: (202) 245-7789. Email address: </w:t>
      </w:r>
      <w:hyperlink r:id="rId17"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w:t>
      </w:r>
      <w:r>
        <w:rPr>
          <w:rFonts w:ascii="arial" w:eastAsia="arial" w:hAnsi="arial" w:cs="arial"/>
          <w:b/>
          <w:i w:val="0"/>
          <w:strike w:val="0"/>
          <w:noProof w:val="0"/>
          <w:color w:val="000000"/>
          <w:position w:val="0"/>
          <w:sz w:val="20"/>
          <w:u w:val="none"/>
          <w:vertAlign w:val="baseline"/>
        </w:rPr>
        <w:t> [*24581] </w:t>
      </w:r>
      <w:r>
        <w:rPr>
          <w:rFonts w:ascii="arial" w:eastAsia="arial" w:hAnsi="arial" w:cs="arial"/>
          <w:b w:val="0"/>
          <w:i w:val="0"/>
          <w:strike w:val="0"/>
          <w:noProof w:val="0"/>
          <w:color w:val="000000"/>
          <w:position w:val="0"/>
          <w:sz w:val="20"/>
          <w:u w:val="none"/>
          <w:vertAlign w:val="baseline"/>
        </w:rPr>
        <w:t xml:space="preserve"> by contacting either of the program contact persons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Intent to Submit an Application: May 26, 2016.</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Submission of a notice of intent to apply is optional. We will be able to develop a more efficient process for reviewing applications if we know the approximate number of applicants that intend to apply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apply by emailing to </w:t>
      </w:r>
      <w:hyperlink r:id="rId17"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 xml:space="preserve"> the following information: (1) The applicant organization's name and address and (2) the absolute priority the applicant intends to address. Applicants that do not submit a notice of intent to apply may still submit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provide the information specified in the application requirements and address the selection criteria that reviewers use to evaluate your application. It does not include the application cover sheet; the budget and budget narrative; the assurances and certifications; or the abstract, the absolute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priorities, the resumes, the bibliography, or the letters of commitment and memoranda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Applicants must limit the application narrative to no more than 45 pages, using the following standards: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for the application narrative does not apply to the application cover sheet; the budget and budget narrative; the assurances and certifications; or the abstract, the absolute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priorities, the resumes, the bibliography, or the letters of commitment and memoranda of understanding.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narrative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P3, your application may include business information that you consider proprietary. In </w:t>
      </w:r>
      <w:hyperlink r:id="rId18"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and may make all applications available,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18"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Submission of a notice of intent to apply is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Deadline for Transmittal of Applications: June 27, 2016. Applications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24, 2016. 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currently registered with SAM, you may not need to make any changes. However, please make certain </w:t>
      </w:r>
      <w:r>
        <w:rPr>
          <w:rFonts w:ascii="arial" w:eastAsia="arial" w:hAnsi="arial" w:cs="arial"/>
          <w:b/>
          <w:i w:val="0"/>
          <w:strike w:val="0"/>
          <w:noProof w:val="0"/>
          <w:color w:val="000000"/>
          <w:position w:val="0"/>
          <w:sz w:val="20"/>
          <w:u w:val="none"/>
          <w:vertAlign w:val="baseline"/>
        </w:rPr>
        <w:t> [*24582] </w:t>
      </w:r>
      <w:r>
        <w:rPr>
          <w:rFonts w:ascii="arial" w:eastAsia="arial" w:hAnsi="arial" w:cs="arial"/>
          <w:b w:val="0"/>
          <w:i w:val="0"/>
          <w:strike w:val="0"/>
          <w:noProof w:val="0"/>
          <w:color w:val="000000"/>
          <w:position w:val="0"/>
          <w:sz w:val="20"/>
          <w:u w:val="none"/>
          <w:vertAlign w:val="baseline"/>
        </w:rPr>
        <w:t xml:space="preserve">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P3 program, CFDA number 84.420A, must be submitted electronically using the Governmentwide Grants.gov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P3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84.420, not 84.420A).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 </w:t>
      </w:r>
      <w:r>
        <w:rPr>
          <w:rFonts w:ascii="arial" w:eastAsia="arial" w:hAnsi="arial" w:cs="arial"/>
          <w:b/>
          <w:i w:val="0"/>
          <w:strike w:val="0"/>
          <w:noProof w:val="0"/>
          <w:color w:val="000000"/>
          <w:position w:val="0"/>
          <w:sz w:val="20"/>
          <w:u w:val="none"/>
          <w:vertAlign w:val="baseline"/>
        </w:rPr>
        <w:t> [*24583]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We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Marilyn Fountain, U.S. Department of Education, 400 Maryland Avenue SW., room 11026, PCP, Washington, DC 20202. FAX: (202) 245-7838. Or Rosanne Andre, U.S. Department of Education, 400 Maryland Avenue SW., Room 11070, PCP, Washington, DC 20202. FAX: (202) 245-7838.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84.420A,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84.420A,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for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P3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points assigned to each criterion are indicated in the parentheses next to the criterion. An applicant may earn up to 100 points based on the selection criteria. An applicant's final score will include both points awarded based on selection criteria and also any points awarded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In determining the need for the proposed project, we will consider the magnitude of the need of the target population, as evidenced by the applicant's analysis of data, including data from a comprehensive needs assessment conducted or updated in the past three years using representative data on youth from the jurisdiction(s) proposing the pilot, that demonstrates how the target population </w:t>
      </w:r>
      <w:r>
        <w:rPr>
          <w:rFonts w:ascii="arial" w:eastAsia="arial" w:hAnsi="arial" w:cs="arial"/>
          <w:b/>
          <w:i w:val="0"/>
          <w:strike w:val="0"/>
          <w:noProof w:val="0"/>
          <w:color w:val="000000"/>
          <w:position w:val="0"/>
          <w:sz w:val="20"/>
          <w:u w:val="none"/>
          <w:vertAlign w:val="baseline"/>
        </w:rPr>
        <w:t> [*24584] </w:t>
      </w:r>
      <w:r>
        <w:rPr>
          <w:rFonts w:ascii="arial" w:eastAsia="arial" w:hAnsi="arial" w:cs="arial"/>
          <w:b w:val="0"/>
          <w:i w:val="0"/>
          <w:strike w:val="0"/>
          <w:noProof w:val="0"/>
          <w:color w:val="000000"/>
          <w:position w:val="0"/>
          <w:sz w:val="20"/>
          <w:u w:val="none"/>
          <w:vertAlign w:val="baseline"/>
        </w:rPr>
        <w:t xml:space="preserve"> lags behind other groups in achieving positive outcomes and the specific risk factors for this population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disaggregate these data according to relevant demographic factors such as race, ethnicity, gender, age, disability status, involvement in systems such as foster care or juvenile justice, status as pregnant or parenting, and other key factors selected by the applicant. If disaggregated data specific to the local population are not available, applicants may refer to disaggregated data available through research, studies, or other sources that describe similarly situated populations as the one the applicant is targeting with its pilot.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do not need to include a copy of the needs assessment but should identify when it was conducted or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Need for Requested Flexibility, Including Blending of Funds and Other Waivers.</w:t>
      </w:r>
      <w:r>
        <w:rPr>
          <w:rFonts w:ascii="arial" w:eastAsia="arial" w:hAnsi="arial" w:cs="arial"/>
          <w:b w:val="0"/>
          <w:i w:val="0"/>
          <w:strike w:val="0"/>
          <w:noProof w:val="0"/>
          <w:color w:val="000000"/>
          <w:position w:val="0"/>
          <w:sz w:val="20"/>
          <w:u w:val="none"/>
          <w:vertAlign w:val="baseline"/>
        </w:rPr>
        <w:t xml:space="preserve"> In determining the need for the requested flexibility, including blending of funds and other waivers,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 and clarity of the applicant's justification that each of the specified Federal requirements identified in Table 2 for which the applicant is seeking flexibility hinders implementation of the proposed pilot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strength and quality of the applicant's justification of how each request for flexibility identified in Table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blending funds and waivers) will increase efficiency or access to services and produce significantly better outcomes for the target population(s)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In determining the strength of the project design,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 and logic of the proposed project design in addressing the gaps and the disparities identified in the response to Selection Criterion (a) (Need for Project) and the barriers identified in the response to Selection Criterion (b) (Need for Requested Flexibility, Including Blending of Funds and Other Waivers). This includes the clarity of the applicant's plan and how the plan differs from current practices. Scoring will account for the strength of both the applicant's narrative and the logic model (10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applicant's narrative should describe how the proposed project will use and coordinate resources, including building on participation in any complementary Federal initiatives or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strength of the evidence supporting the pilot design and whether the applicant proposes the effective use of interventions based on evidence and evidence-informed interventions (as defined in this notice), as documented by citations to the relevant evidence that informed the applicant's design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should cite the studies on interventions and system reforms that informed their pilot design and explain the relevance of the cited evidence to the proposed project in terms of subject matter and evaluation evidence. Applicants proposing reforms on which there are not yet evaluations (such as innovations that have not been formally tested or tested only on a small scale) should document how evidence or practice knowledge informed the proposed pilot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strength of the applicant's evidence that the project design, including any protections and safeguards that will be established, ensures that the consequences or impacts of the changes from current practices in serving youth through the proposed funding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not result in denying or restricting the eligibility of individuals for services that (in whole or in part) are otherwise funded by these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Based on the best available information, will not otherwise adversely affect vulnerable populations that are the recipients of those services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Work Plan and Project Management.</w:t>
      </w:r>
      <w:r>
        <w:rPr>
          <w:rFonts w:ascii="arial" w:eastAsia="arial" w:hAnsi="arial" w:cs="arial"/>
          <w:b w:val="0"/>
          <w:i w:val="0"/>
          <w:strike w:val="0"/>
          <w:noProof w:val="0"/>
          <w:color w:val="000000"/>
          <w:position w:val="0"/>
          <w:sz w:val="20"/>
          <w:u w:val="none"/>
          <w:vertAlign w:val="baseline"/>
        </w:rPr>
        <w:t xml:space="preserve"> In determining the strength of the work plan and project management, we will consider the strength and completeness of the work plan and project management approach and their likelihood of achieving the objectives of the proposed project on time and within budget,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Clearly defined and appropriate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of project personnel to ensure proper management of all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any existing or anticipated barriers to implementation will be overcome (10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program manager or other key personnel are already on staff, the applicant should provide this person's resume or curriculum vitae.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Evaluation activities may be included in the timelines provided as part of the work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Partnership Capacity.</w:t>
      </w:r>
      <w:r>
        <w:rPr>
          <w:rFonts w:ascii="arial" w:eastAsia="arial" w:hAnsi="arial" w:cs="arial"/>
          <w:b w:val="0"/>
          <w:i w:val="0"/>
          <w:strike w:val="0"/>
          <w:noProof w:val="0"/>
          <w:color w:val="000000"/>
          <w:position w:val="0"/>
          <w:sz w:val="20"/>
          <w:u w:val="none"/>
          <w:vertAlign w:val="baseline"/>
        </w:rPr>
        <w:t xml:space="preserve"> In determining the strength and capacity of the proposed pilot partnership, we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well the applicant demonstrates that it has an effective governance structure in which partners that are necessary to implement the pilot successfully are represented and have the necessary authority, resources, expertise, and incentives to achieve the pilot's goals and resolve unforeseen issues, including by demonstrating the extent to which, and how, participating partners have successfully collaborated to improve outcomes for disconnected youth in the past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well the applicant demonstrates that its proposal was designed with substantive input from all relevant stakeholders, including disconnected youth and other community partners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Where the project design includes job training strategies, the extent of employer input and engagement in the identification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employers, the development of the curriculum, and the offering of work-based learning opportunities, including pre-apprenticeship and registered apprenticeship, will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Data and Performance Management Capacity.</w:t>
      </w:r>
      <w:r>
        <w:rPr>
          <w:rFonts w:ascii="arial" w:eastAsia="arial" w:hAnsi="arial" w:cs="arial"/>
          <w:b w:val="0"/>
          <w:i w:val="0"/>
          <w:strike w:val="0"/>
          <w:noProof w:val="0"/>
          <w:color w:val="000000"/>
          <w:position w:val="0"/>
          <w:sz w:val="20"/>
          <w:u w:val="none"/>
          <w:vertAlign w:val="baseline"/>
        </w:rPr>
        <w:t xml:space="preserve"> In determining the strength of the applicant's data and performance management capacity, we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applicant's capacity to collect, analyze, and use data for decision-making, learning, continuous improvement, and accountability, and the strength of the applicant's plan to bridge any gaps in its ability to do so. This capacity includes the extent to which the applicant and partner organizations have tracked and shared data about program participants, services, and outcomes, including the execution of data-sharing agreements that comport with Federal, State, and other privacy laws and requirements, and will continue to do so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well the proposed outcome measures, interim indicators, and measurement methodologies specified in Table 4 of the application appropriately and sufficiently gauge results achieved for the target population under the pilot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well the data sources specified in Table 4 of the application can be appropriately accessed and used to reliably measure the proposed outcome measures and interim indicators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 and Budget Narrative.</w:t>
      </w:r>
      <w:r>
        <w:rPr>
          <w:rFonts w:ascii="arial" w:eastAsia="arial" w:hAnsi="arial" w:cs="arial"/>
          <w:b w:val="0"/>
          <w:i w:val="0"/>
          <w:strike w:val="0"/>
          <w:noProof w:val="0"/>
          <w:color w:val="000000"/>
          <w:position w:val="0"/>
          <w:sz w:val="20"/>
          <w:u w:val="none"/>
          <w:vertAlign w:val="baseline"/>
        </w:rPr>
        <w:t xml:space="preserve"> In determining the adequacy of the resources that will be committed to support the project, we will consider the appropriateness of expenses within the budget with regards to cost and to implementing the pilot successfully. We will consider the entirety of funds the applicant will use to support its pilot including start-up grant funds, blended and braided funds included in Table 5, </w:t>
      </w:r>
      <w:r>
        <w:rPr>
          <w:rFonts w:ascii="arial" w:eastAsia="arial" w:hAnsi="arial" w:cs="arial"/>
          <w:b/>
          <w:i w:val="0"/>
          <w:strike w:val="0"/>
          <w:noProof w:val="0"/>
          <w:color w:val="000000"/>
          <w:position w:val="0"/>
          <w:sz w:val="20"/>
          <w:u w:val="none"/>
          <w:vertAlign w:val="baseline"/>
        </w:rPr>
        <w:t> [*24585] </w:t>
      </w:r>
      <w:r>
        <w:rPr>
          <w:rFonts w:ascii="arial" w:eastAsia="arial" w:hAnsi="arial" w:cs="arial"/>
          <w:b w:val="0"/>
          <w:i w:val="0"/>
          <w:strike w:val="0"/>
          <w:noProof w:val="0"/>
          <w:color w:val="000000"/>
          <w:position w:val="0"/>
          <w:sz w:val="20"/>
          <w:u w:val="none"/>
          <w:vertAlign w:val="baseline"/>
        </w:rPr>
        <w:t xml:space="preserve"> and non-Federal funds including in-kind contributions.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that are submitted in accordance with the requirements in this notice, and will determine which applications are eligible to be read based on whether they have met the eligibility and application requirements established by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use reviewers with knowledge and expertise on issues related to improving outcomes for disconnected youth to score the selection criteria. The Department will thoroughly screen all reviewers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of, and score the assigned applications, based on the seven selection criteria listed in the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applications, all reviewers will score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(Improving Outcomes for Youth Who Are Unemployed and Out of School), while reviewers with expertise in evaluation will score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(Site-Specific Evaluation). The Department will assign three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(Work-Based Learning) if the application proposes to provide all disconnected youth that will be served by the project with paid work-based learning opportunities, such as opportunities during the summer, which are integrated with academic and technical instruction. If you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provide a HUD Form 50153 (Certification of Consistency with Promise Zone Goals and Implementation) that has been signed by an authorized Promise Zone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scoring.</w:t>
      </w:r>
      <w:r>
        <w:rPr>
          <w:rFonts w:ascii="arial" w:eastAsia="arial" w:hAnsi="arial" w:cs="arial"/>
          <w:b w:val="0"/>
          <w:i w:val="0"/>
          <w:strike w:val="0"/>
          <w:noProof w:val="0"/>
          <w:color w:val="000000"/>
          <w:position w:val="0"/>
          <w:sz w:val="20"/>
          <w:u w:val="none"/>
          <w:vertAlign w:val="baseline"/>
        </w:rPr>
        <w:t xml:space="preserve"> Reviewers will read, prepare a written evaluation, and assign a technical score to the applications assigned to their panel, using the selection criteria provided in this notice,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4, and the scoring rubric in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will then prepare a rank order of applications based on their technical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Flexibility, including blending of funds and other waivers.</w:t>
      </w:r>
      <w:r>
        <w:rPr>
          <w:rFonts w:ascii="arial" w:eastAsia="arial" w:hAnsi="arial" w:cs="arial"/>
          <w:b w:val="0"/>
          <w:i w:val="0"/>
          <w:strike w:val="0"/>
          <w:noProof w:val="0"/>
          <w:color w:val="000000"/>
          <w:position w:val="0"/>
          <w:sz w:val="20"/>
          <w:u w:val="none"/>
          <w:vertAlign w:val="baseline"/>
        </w:rPr>
        <w:t xml:space="preserve"> Using this rank order, representatives of the Agencies that administer programs under which flexibility in Federal requirements is sought will evaluate whether the flexibility, including blending of funds and other waivers requested by top-scoring applicants, meets the statutory requirements for Performance Partnership Pilots and is otherwise appropriate. For example, if an applicant is seeking flexibility under programs administered by HHS and DOL, its requests for flexibility will be reviewed by HHS and DOL officials. Applicants may be asked to participate in an interview at this point in the process in order to clarify requests for flexibility and other aspects of their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applicants that propose to include funds from FY 2015 or FY 2016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that have already been awarded, the flexibility review may include consideration of whether the scope, objectives, and target populations of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are sufficiently and appropriately aligned with the proposed pilot. Any changes in terms and conditions of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required for pilot purposes must be justified by the applicant (see frequently asked questions included in the application package). The Agencies will review those requests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25 or fewer eligible applications are received, the technical scoring and reviews of flexibility requests may be conducted concurrently.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Selecting finalists.</w:t>
      </w:r>
      <w:r>
        <w:rPr>
          <w:rFonts w:ascii="arial" w:eastAsia="arial" w:hAnsi="arial" w:cs="arial"/>
          <w:b w:val="0"/>
          <w:i w:val="0"/>
          <w:strike w:val="0"/>
          <w:noProof w:val="0"/>
          <w:color w:val="000000"/>
          <w:position w:val="0"/>
          <w:sz w:val="20"/>
          <w:u w:val="none"/>
          <w:vertAlign w:val="baseline"/>
        </w:rPr>
        <w:t xml:space="preserve"> Agency officials may recommend the selection of up to ten projects as Performance Partnership Pilots. In accordance with </w:t>
      </w:r>
      <w:hyperlink r:id="rId25" w:history="1">
        <w:r>
          <w:rPr>
            <w:rFonts w:ascii="arial" w:eastAsia="arial" w:hAnsi="arial" w:cs="arial"/>
            <w:b w:val="0"/>
            <w:i/>
            <w:strike w:val="0"/>
            <w:noProof w:val="0"/>
            <w:color w:val="0077CC"/>
            <w:position w:val="0"/>
            <w:sz w:val="20"/>
            <w:u w:val="single"/>
            <w:vertAlign w:val="baseline"/>
          </w:rPr>
          <w:t>34 CFR 75.217(d)</w:t>
        </w:r>
      </w:hyperlink>
      <w:r>
        <w:rPr>
          <w:rFonts w:ascii="arial" w:eastAsia="arial" w:hAnsi="arial" w:cs="arial"/>
          <w:b w:val="0"/>
          <w:i w:val="0"/>
          <w:strike w:val="0"/>
          <w:noProof w:val="0"/>
          <w:color w:val="000000"/>
          <w:position w:val="0"/>
          <w:sz w:val="20"/>
          <w:u w:val="none"/>
          <w:vertAlign w:val="baseline"/>
        </w:rPr>
        <w:t xml:space="preserve"> and in consultation with the other Agencies, the Secretary will select finalists after considering the rank ordering, the recommendations of the Agencies that administer the programs for which the applicants are seeking flexibility, and other information including an applicant's performance and use of funds and compliance history under a previous award under any Agency program. In selecting pilots, the Agencies may consider high-ranking applications meeting Absolute Priority 2, Absolute Priority 3, and Absolute Priority 4 separately to ensure that there is a diversity of pilots. In addition, as required by the Acts, each pilot must meet all statutory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finalist, ED and any other agencies implicated in the pilot will negotiate a performance agreement. If a performance agreement cannot be finalized for any applicant, an alternative applicant may be selected as a finalist instead. The recommended projects will be considered finalists until performance agreements are signed by all parties, and pilot designation will be awarded only after finalization and approval of each finalist's performance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ED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w:t>
      </w:r>
      <w:r>
        <w:rPr>
          <w:rFonts w:ascii="arial" w:eastAsia="arial" w:hAnsi="arial" w:cs="arial"/>
          <w:b/>
          <w:i w:val="0"/>
          <w:strike w:val="0"/>
          <w:noProof w:val="0"/>
          <w:color w:val="000000"/>
          <w:position w:val="0"/>
          <w:sz w:val="20"/>
          <w:u w:val="none"/>
          <w:vertAlign w:val="baseline"/>
        </w:rPr>
        <w:t> [*24586] </w:t>
      </w:r>
      <w:r>
        <w:rPr>
          <w:rFonts w:ascii="arial" w:eastAsia="arial" w:hAnsi="arial" w:cs="arial"/>
          <w:b w:val="0"/>
          <w:i w:val="0"/>
          <w:strike w:val="0"/>
          <w:noProof w:val="0"/>
          <w:color w:val="000000"/>
          <w:position w:val="0"/>
          <w:sz w:val="20"/>
          <w:u w:val="none"/>
          <w:vertAlign w:val="baseline"/>
        </w:rPr>
        <w:t xml:space="preserve">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As described earlier in this notice, the applicant must propose outcome measures and interim indicators to gauge pilot performance using Table 4. At least one outcome measure must be in the domain of education, and at least one outcome measure must be in the domain of employment. Applicants may specify additional employment and education outcome measures, as well as outcome measures in other domains of well-being, such as criminal justice, physical and mental health, and housing. Regardless of the outcome domain, applicants must identify at least one interim indicator for each proposed outcome measure. Applicants must indicate the source of the data for each outcome measure and interim indicator, the proposed frequency of collection, and the methodology used to collect the data. Outcome measures and interim indicators, along with the required reporting frequency for each, will be outlined in P3 performance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Marilyn Fountain, U.S. Department of Education, 400 Maryland Avenue SW., Room 11026, PCP, Washington, DC 20202. Telephone: (202)245-7346 or by email: </w:t>
      </w:r>
      <w:hyperlink r:id="rId17"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 xml:space="preserve"> or Rosanne Andre, U.S. Department of Education, 400 Maryland Avenue SW., Room 11070, PCP, Washington, DC 20202. Telephone: (202) 245-7789. Email address: </w:t>
      </w:r>
      <w:hyperlink r:id="rId17"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Johan E. Uvin,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Delegated the Duties of the Assistant Secretary for Career, Technical, and Adult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 Evaluation Commitment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 Scoring Rubric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Evaluation Commitment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authorized executive of the lead applicant and all other partners, including State, local, tribal, and non-governmental organizations that would be involved in the pilot's implementation, must sign this form and submit it as an attachment to the grant application. The form is not considered in the recommended application page limit.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Commitment To Participate in Required Evaluation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lead applicant or a partner proposing to implement a Performance Partnership Pilot through a Federal grant, I/we agree to carry out the following activities, which are considered evaluation requirements applicable to all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Facilitate Data Collection:</w:t>
      </w:r>
      <w:r>
        <w:rPr>
          <w:rFonts w:ascii="arial" w:eastAsia="arial" w:hAnsi="arial" w:cs="arial"/>
          <w:b w:val="0"/>
          <w:i w:val="0"/>
          <w:strike w:val="0"/>
          <w:noProof w:val="0"/>
          <w:color w:val="000000"/>
          <w:position w:val="0"/>
          <w:sz w:val="20"/>
          <w:u w:val="none"/>
          <w:vertAlign w:val="baseline"/>
        </w:rPr>
        <w:t xml:space="preserve"> I/we understand that the award of this grant requires me/us to facilitate the collection and/or transmission of data for evaluation and performance monitoring purposes to the lead Federal agency and/or its national evaluator in accordance with applicable Federal, State, and local, and tribal laws, including privacy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data that will be collected includes, but is not limited to, the following: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information, including participants' gender, race, age, school status, and employment status;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services that participants receive;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Outcome measures and interim outcome indicators, linked at the individual level, which will be used to measure the effects of the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Federal agency will provide more details to grantees on the data items required for performance and evaluation after grants have been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Participate in Evaluation:</w:t>
      </w:r>
      <w:r>
        <w:rPr>
          <w:rFonts w:ascii="arial" w:eastAsia="arial" w:hAnsi="arial" w:cs="arial"/>
          <w:b w:val="0"/>
          <w:i w:val="0"/>
          <w:strike w:val="0"/>
          <w:noProof w:val="0"/>
          <w:color w:val="000000"/>
          <w:position w:val="0"/>
          <w:sz w:val="20"/>
          <w:u w:val="none"/>
          <w:vertAlign w:val="baseline"/>
        </w:rPr>
        <w:t xml:space="preserve"> I/we understand that participation and full cooperation in the national evaluation of the Performance Partnership Pilot is a condition of this grant award. I/we understand that the national evaluation will include an implementation systems analysis and, for certain sites as appropriate, may also include an impact evaluation. My/our participation will include facilitating site visits and interviews; collaborating in study procedures, including random assignment, if necessary; and transmitting data that are needed for the evaluation of participants in the study sample, including those who may be in a control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Participate in Random Assignment:</w:t>
      </w:r>
      <w:r>
        <w:rPr>
          <w:rFonts w:ascii="arial" w:eastAsia="arial" w:hAnsi="arial" w:cs="arial"/>
          <w:b w:val="0"/>
          <w:i w:val="0"/>
          <w:strike w:val="0"/>
          <w:noProof w:val="0"/>
          <w:color w:val="000000"/>
          <w:position w:val="0"/>
          <w:sz w:val="20"/>
          <w:u w:val="none"/>
          <w:vertAlign w:val="baseline"/>
        </w:rPr>
        <w:t xml:space="preserve"> I/we agree that if our Performance Partnership Pilot or certain activities in the Pilot is selected for an impact evaluation as part of the national evaluation, it may be necessary to select participants for admission to Performance Partnership Pilot by a random lottery, using procedures established by the evaluator.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 Consent:</w:t>
      </w:r>
      <w:r>
        <w:rPr>
          <w:rFonts w:ascii="arial" w:eastAsia="arial" w:hAnsi="arial" w:cs="arial"/>
          <w:b w:val="0"/>
          <w:i w:val="0"/>
          <w:strike w:val="0"/>
          <w:noProof w:val="0"/>
          <w:color w:val="000000"/>
          <w:position w:val="0"/>
          <w:sz w:val="20"/>
          <w:u w:val="none"/>
          <w:vertAlign w:val="baseline"/>
        </w:rPr>
        <w:t xml:space="preserve"> I/we agree to include a consent form for, as appropriate, parents/guardians and students/participants in the application or enrollment packet for all youth in organizations implementing the Performance Partnership Pilot consistent with any Federal, State, local, and tribal laws that apply. The parental/participant consent forms will be collected prior to the acceptance of participants into Performance Partnership Pilot and before sharing data with the evaluator for the purpose of evaluating the Performance Partnership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1830-0575]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B: Scoring Rubric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assign points to an application for each selection sub-criterion, </w:t>
      </w:r>
      <w:r>
        <w:rPr>
          <w:rFonts w:ascii="arial" w:eastAsia="arial" w:hAnsi="arial" w:cs="arial"/>
          <w:b/>
          <w:i w:val="0"/>
          <w:strike w:val="0"/>
          <w:noProof w:val="0"/>
          <w:color w:val="000000"/>
          <w:position w:val="0"/>
          <w:sz w:val="20"/>
          <w:u w:val="none"/>
          <w:vertAlign w:val="baseline"/>
        </w:rPr>
        <w:t> [*24587] </w:t>
      </w:r>
      <w:r>
        <w:rPr>
          <w:rFonts w:ascii="arial" w:eastAsia="arial" w:hAnsi="arial" w:cs="arial"/>
          <w:b w:val="0"/>
          <w:i w:val="0"/>
          <w:strike w:val="0"/>
          <w:noProof w:val="0"/>
          <w:color w:val="000000"/>
          <w:position w:val="0"/>
          <w:sz w:val="20"/>
          <w:u w:val="none"/>
          <w:vertAlign w:val="baseline"/>
        </w:rPr>
        <w:t xml:space="preserve"> as well as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(Improving Outcomes for Youth Who Are Unemployed and Out of School) and 4 (Site-Specific Evaluation). In awarding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reviewers will make case by case determinations as to how well a particular application meets both parts of the priority. For example, more points may be awarded to an application proposing to serve a higher percentage of disconnected youth who are neither employed nor enrolled in education and who face significant barriers to accessing education and employment, and is likely to result in significantly better educational or employment outcomes for such youth based on the strength of the evidence base and/or logic model underlying the applicant's project design. ED will assign three points to an application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(Work-Based Learning) if the application proposes to provide all disconnected youth that will be served by the project with paid work-based learning opportunities, such as opportunities during the summer, which are integrated with academic and technical instruction. ED will assign two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(Promise Zones) to an application if the application includes a HUD Form 50153 (Certification of Consistency with Promise Zone Goals and Implementation) that has been signed by an authorized Promise Zone official. To help promote consistency across and within the panels that will review P3 applications, the Department has created a scoring rubric for reviewers to aid them in scoring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scoring rubric below shows the maximum number of points that may be assigned to each criterion, sub-criterion,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Selection criteria</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Sub-criterion points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Criterion points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Need for Project. 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project,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magnitude of the need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target population,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evidenced by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analysis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including data from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comprehensive needs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conducted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within the past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 using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data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from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 proposing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demonstrates how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population lags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behind other groups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achieving positive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and the specific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factors for this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Need for Requested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Blending of Funds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Waivers.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requested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blending of funds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waivers, we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The strength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justification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each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Federal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identified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Table 2 for which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is seeking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hinders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pilot;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The strength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justification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how each request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identified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2 (i.e., blending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and waivers)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efficiency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services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significantly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outcomes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population(s)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Project Design. 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strength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project design,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The strength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logic of the proposed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design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 the gaps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disparities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Selection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(a)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and the barriers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Selection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(b)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Flexibility,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Blending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and Other Waivers).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includes the clarity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applicant's plan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how the plan differs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current practices.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Scoring will account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strength of both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narrative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logic model;;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The strength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supporting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design and whether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applicant proposes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use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based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evidence-informed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(as defined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notice)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by citations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relevant evidence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informed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design;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 The strength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evidence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project design,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any protections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safeguards that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established, ensures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consequences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 of the changes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current practices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serving youth through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funding streams: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Will not result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denying or restricting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for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 whole or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are otherwise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funded by these programs;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Based on the best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 otherwise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vulnerable populations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the recipients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those services (5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Work Plan and Project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strength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work plan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and completeness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work plan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and their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likelihood of achieving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objectives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project on time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within budget, based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Clearly defined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timelines, and milestones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accomplishing project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The qualifications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personnel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proper management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project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How any existing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barriers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will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overcome.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Partnership Capacity.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determining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and capacity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pilot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we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the following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 How well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demonstrates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has an 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 structure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partners that are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implement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successfully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represented and have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necessary 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expertise,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incentives to achieve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goals and resolve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unforeseen issues,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 the extent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which, and how,</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partners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successfully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collaborated to improve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for disconnected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in the past;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 How well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demonstrates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its proposal was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designed with substantive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from all relevant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disconnected youth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community partners.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Data and Performance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Capacity.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strength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applicant's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capacity,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factors--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 The applicant's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to collect,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analyze, and use data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decision-making,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continuous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plan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bridge any gaps in its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ability to do so. This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includes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extent to which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and partner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have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tracked and shared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program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outcomes,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execution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data-sharing agreements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comport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State, and other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laws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do so;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 How well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outcome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interim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methodologies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Table 4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appropriately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sufficiently gauge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achieved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population under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 How well the data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specified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4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can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appropriately accessed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used to reliably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the proposed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 measures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indicators.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Budget and Budget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Narrative. In determining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adequacy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that will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committed to support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we will consider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appropriateness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expenses within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with regards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to implementing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successfully.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entirety of funds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will use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its pilot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start-up grant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blended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braided funds included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5, and non-Federal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including in-kind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Preference Priorities for Applications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1: Improving Outcomes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Who Are Unemployed and Out of School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this priority, an applicant must propose a pilot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will serve disconnected youth who are neither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 nor enrolled in education and who face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barriers to accessing education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is likely to result in significantly better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or employment outcomes for such youth.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2: Work-Based Learning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this priority, an applicant must propose a pilot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provide all of the disconnected youth 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proposes to serve with paid work-based learning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such as opportunities during the summer,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are integrated with academic and technical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3: Promise Zones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priority is for projects that are designed to serve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coordinate with a federally designated Promise Zone.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4: Site-Specific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this priority, an applicant must propose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 independent evaluation of the impacts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disconnected youth of its overall program or specific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of its program that is a randomized controlled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trial or a quasi-experimental design study. The extent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an applicant meets this priority will be based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clarity and feasibility of the applicant's proposed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design, the appropriateness of the design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capture key pilot outcomes, the prospective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 of the evaluation to the knowledge base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serving disconnected youth (including the rigor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design and the validity and generalizability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and the applicant's demonstrated expertise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conducting a randomized controlled trial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quasi-experimental evaluation study.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case-by-case determinations will be made, the reviewers will be asked to consider the general ranges below as a guide when awarding points.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 of response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point value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2016-09748 Filed 4-25-16;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24573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ppaga.state.fl.us/MonitorDocs/Reports/pdf/1055rpt.pdf" TargetMode="External" /><Relationship Id="rId11" Type="http://schemas.openxmlformats.org/officeDocument/2006/relationships/hyperlink" Target="http://www.ncjrs.gov/pdffiles1/nij/grants/228584.pdf" TargetMode="External" /><Relationship Id="rId12" Type="http://schemas.openxmlformats.org/officeDocument/2006/relationships/hyperlink" Target="http://www.whitehouse.gov/the-press-office/2014/01/08/fact-sheet-president-obama-s-promise-zones-initiative" TargetMode="External" /><Relationship Id="rId13" Type="http://schemas.openxmlformats.org/officeDocument/2006/relationships/hyperlink" Target="https://advance.lexis.com/api/document?collection=administrative-codes&amp;id=urn:contentItem:5BV6-FN90-006W-808J-00000-00&amp;context="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https://advance.lexis.com/api/document?collection=administrative-codes&amp;id=urn:contentItem:5S7T-7HV0-008H-03HM-00000-00&amp;context=" TargetMode="External" /><Relationship Id="rId16" Type="http://schemas.openxmlformats.org/officeDocument/2006/relationships/hyperlink" Target="https://advance.lexis.com/api/document?collection=statutes-legislation&amp;id=urn:contentItem:4YF7-GMC1-NRF4-43PB-00000-00&amp;context=" TargetMode="External" /><Relationship Id="rId17" Type="http://schemas.openxmlformats.org/officeDocument/2006/relationships/hyperlink" Target="mailto:disconnectedyouth@ed.gov" TargetMode="External" /><Relationship Id="rId18" Type="http://schemas.openxmlformats.org/officeDocument/2006/relationships/hyperlink" Target="https://advance.lexis.com/api/document?collection=administrative-codes&amp;id=urn:contentItem:5G9C-N1H0-008H-002J-00000-00&amp;context=" TargetMode="External" /><Relationship Id="rId19" Type="http://schemas.openxmlformats.org/officeDocument/2006/relationships/hyperlink" Target="http://fedgov.dnb.com/webform"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MG-9120-006W-84WF-00000-00&amp;context=" TargetMode="External" /><Relationship Id="rId8" Type="http://schemas.openxmlformats.org/officeDocument/2006/relationships/hyperlink" Target="http://www.childtrends.org/wp-content/uploads/2014/10/01_Dropout_Rates.pdf" TargetMode="External" /><Relationship Id="rId9" Type="http://schemas.openxmlformats.org/officeDocument/2006/relationships/hyperlink" Target="http://www.frbsf.org/community-development/files/cp_fullreport.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24573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