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24636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080, Tuesday, April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24636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April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Charleston Area Medical Center, Inc. and St. Mary's Medical Center, Inc.: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Southern District of West Virginia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Charleston Area Medical Center, Inc. and St. Mary's Medical Center, Inc.,</w:t>
      </w:r>
      <w:r>
        <w:rPr>
          <w:rFonts w:ascii="arial" w:eastAsia="arial" w:hAnsi="arial" w:cs="arial"/>
          <w:b w:val="0"/>
          <w:i w:val="0"/>
          <w:strike w:val="0"/>
          <w:noProof w:val="0"/>
          <w:color w:val="000000"/>
          <w:position w:val="0"/>
          <w:sz w:val="20"/>
          <w:u w:val="none"/>
          <w:vertAlign w:val="baseline"/>
        </w:rPr>
        <w:t xml:space="preserve"> Civil Action No. 2:16-cv-03664. On April 14, 2016, the United States filed a Complaint alleging that Charleston Area Medical Center, Inc. and St. Mary's Medical Center, Inc. unlawfully agreed to allocate territories for the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and unlawfully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proposed Final Judgment, filed at the same time as the Complaint, enjoins Defendants from limiting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this manner and requires Defendants to institute comprehensive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programs to ensure that Defendants do not establish similar unlawful agreements and similar limitations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9"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Southern District of West Virginia.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Peter Mucchetti, Chief, Litigation 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4100, Washington, DC 20530 (telephone: 202-307-0001).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THE SOUTHERN DISTRICT OF WEST VIRGINIA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CHARLESTON DIVISION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CHARLESTON AREA MEDICAL CENTER, INC. and ST. MARY'S MEDICAL CENTER, INC.,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2:16-cv-03664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John T. Copenhaver,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04/14/2016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enjoin an agreement by Charleston Area Medical Center, Inc. ("CAMC") and St. Mary's Medical Center, Inc. ("St. Mary's) (collectively, "Defendants") that unlawfully allocated territories for the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and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Defendants CAMC and St. Mary's are healthcare providers that operate general acute-care hospitals in Charleston, Kanawha County, West Virginia, and Huntington, Cabell County, West Virginia, respectively. CAMC and St. Mary's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to provide healthcare services. Marketing is a key component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includes both print and outdoor advertising, such as newspaper advertisements and billboards.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CAMC and St. Mary's agreed to limit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According to St. Mary's Director of Marketing, St. Mary's "had an agreement with CAMC that St. Mary's would not advertise on billboards or in print in Kanawha County and that CAMC would not advertise on billboards or in print in Cabell County." He also testified that "the agreement between St. Mary's and CAMC is still in place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Defendants' agreement has disrupted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harmed patients and physicians. Among other things, the agreement has deprived patients of information they otherwise would have had when making important healthcare decisions and has denied physicians working for the Defendants the opportunity to advertise their services to potential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Defendants' agreement is a naked restraint of trade that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under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JURISDICTION, VENUE, AND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United States brings this action pursuant to Section 4 of the Sherman Act, </w:t>
      </w:r>
      <w:hyperlink r:id="rId10" w:history="1">
        <w:r>
          <w:rPr>
            <w:rFonts w:ascii="arial" w:eastAsia="arial" w:hAnsi="arial" w:cs="arial"/>
            <w:b w:val="0"/>
            <w:i/>
            <w:strike w:val="0"/>
            <w:noProof w:val="0"/>
            <w:color w:val="0077CC"/>
            <w:position w:val="0"/>
            <w:sz w:val="20"/>
            <w:u w:val="single"/>
            <w:vertAlign w:val="baseline"/>
          </w:rPr>
          <w:t>15 U.S.C. 4</w:t>
        </w:r>
      </w:hyperlink>
      <w:r>
        <w:rPr>
          <w:rFonts w:ascii="arial" w:eastAsia="arial" w:hAnsi="arial" w:cs="arial"/>
          <w:b w:val="0"/>
          <w:i w:val="0"/>
          <w:strike w:val="0"/>
          <w:noProof w:val="0"/>
          <w:color w:val="000000"/>
          <w:position w:val="0"/>
          <w:sz w:val="20"/>
          <w:u w:val="none"/>
          <w:vertAlign w:val="baseline"/>
        </w:rPr>
        <w:t xml:space="preserve">, to prevent and restrain Defendants' violations of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This Court has subject matter jurisdiction over this action under Section 4 of the Sherman Act, </w:t>
      </w:r>
      <w:hyperlink r:id="rId10" w:history="1">
        <w:r>
          <w:rPr>
            <w:rFonts w:ascii="arial" w:eastAsia="arial" w:hAnsi="arial" w:cs="arial"/>
            <w:b w:val="0"/>
            <w:i/>
            <w:strike w:val="0"/>
            <w:noProof w:val="0"/>
            <w:color w:val="0077CC"/>
            <w:position w:val="0"/>
            <w:sz w:val="20"/>
            <w:u w:val="single"/>
            <w:vertAlign w:val="baseline"/>
          </w:rPr>
          <w:t>15 U.S.C. 4</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1367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Venue is proper in the Southern District of West Virginia, Charleston Division, under </w:t>
      </w:r>
      <w:hyperlink r:id="rId14" w:history="1">
        <w:r>
          <w:rPr>
            <w:rFonts w:ascii="arial" w:eastAsia="arial" w:hAnsi="arial" w:cs="arial"/>
            <w:b w:val="0"/>
            <w:i/>
            <w:strike w:val="0"/>
            <w:noProof w:val="0"/>
            <w:color w:val="0077CC"/>
            <w:position w:val="0"/>
            <w:sz w:val="20"/>
            <w:u w:val="single"/>
            <w:vertAlign w:val="baseline"/>
          </w:rPr>
          <w:t>28 U.S.C. 1391</w:t>
        </w:r>
      </w:hyperlink>
      <w:r>
        <w:rPr>
          <w:rFonts w:ascii="arial" w:eastAsia="arial" w:hAnsi="arial" w:cs="arial"/>
          <w:b w:val="0"/>
          <w:i w:val="0"/>
          <w:strike w:val="0"/>
          <w:noProof w:val="0"/>
          <w:color w:val="000000"/>
          <w:position w:val="0"/>
          <w:sz w:val="20"/>
          <w:u w:val="none"/>
          <w:vertAlign w:val="baseline"/>
        </w:rPr>
        <w:t xml:space="preserve"> and Section 12 of the Clayton Act, </w:t>
      </w:r>
      <w:hyperlink r:id="rId15"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Each Defendant transacts business within the Southern District of West Virginia, and all Defendants reside in the Southern District of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Defendants engage in interstate commerce and in activities substantially affecting interstate commerce. Defendants provide healthcare services to patients for which employers, health plans, and individual patients remit payments across state lines. Defendants </w:t>
      </w:r>
      <w:r>
        <w:rPr>
          <w:rFonts w:ascii="arial" w:eastAsia="arial" w:hAnsi="arial" w:cs="arial"/>
          <w:b/>
          <w:i w:val="0"/>
          <w:strike w:val="0"/>
          <w:noProof w:val="0"/>
          <w:color w:val="000000"/>
          <w:position w:val="0"/>
          <w:sz w:val="20"/>
          <w:u w:val="none"/>
          <w:vertAlign w:val="baseline"/>
        </w:rPr>
        <w:t> [*24637] </w:t>
      </w:r>
      <w:r>
        <w:rPr>
          <w:rFonts w:ascii="arial" w:eastAsia="arial" w:hAnsi="arial" w:cs="arial"/>
          <w:b w:val="0"/>
          <w:i w:val="0"/>
          <w:strike w:val="0"/>
          <w:noProof w:val="0"/>
          <w:color w:val="000000"/>
          <w:position w:val="0"/>
          <w:sz w:val="20"/>
          <w:u w:val="none"/>
          <w:vertAlign w:val="baseline"/>
        </w:rPr>
        <w:t xml:space="preserve"> also purchase supplies and equipment from out-of-state vendors that are shipped across state 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DEFENDANTS AND THEIR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CAMC is a nonprofit West Virginia corporation headquartered in Charleston, Kanawha County, West Virginia. It operates four general acute-care hospitals (CAMC General Hospital, CAMC Memorial Hospital, CAMC Women and Children's Hospital, and CAMC Teays Valley Hospital) with a total of 908 beds and a medical staff of over 120 employed physicians.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St. Mary's is a nonprofit West Virginia corporation headquartered in Huntington, Cabell County, West Virginia. It operates a general acute-care hospital located in Cabell County with 393 beds and a medical staff of over 50 employed physicians. St. Mary's also serves as a teaching hospital for medical students and residents from Marshall University School of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CAMC and St. Mary's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to provide hospital and physician services to patients. Hospitals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through price, quality, and other factors to sell their services to patients, employers, and insurance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Marketing is an important tool that hospitals use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patients, and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lead hospitals to invest in providing better care and a broader range of services. Hospitals use marketing to inform patients about a hospital's quality, scope of services, and the expertise of its physicians. An executive of each Defendant testified at deposition that marketing is an important strategy through which hospitals seek to increase patient volume and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Defendants' marketing methods include print advertisements, such as newspaper advertisements, and outdoor advertisements, such as billboards.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UNLAWFUL AGREEMENT BETWEEN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 MARY'S AND CAMC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Since at least 2012, CAMC and St. Mary's have agreed to limit their marketing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CAMC agreed not to place print or outdoor advertisements in Cabell County, and St. Mary's agreed not to place print or outdoor advertisements in Kanawha County. Defendants' marketing departments have monitored and enforced this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For example, in January 2012, a CAMC urology group asked CAMC's marketing department to advertise its physicians in </w:t>
      </w:r>
      <w:r>
        <w:rPr>
          <w:rFonts w:ascii="arial" w:eastAsia="arial" w:hAnsi="arial" w:cs="arial"/>
          <w:b w:val="0"/>
          <w:i/>
          <w:strike w:val="0"/>
          <w:noProof w:val="0"/>
          <w:color w:val="000000"/>
          <w:position w:val="0"/>
          <w:sz w:val="20"/>
          <w:u w:val="none"/>
          <w:vertAlign w:val="baseline"/>
        </w:rPr>
        <w:t>The Herald Dispatch,</w:t>
      </w:r>
      <w:r>
        <w:rPr>
          <w:rFonts w:ascii="arial" w:eastAsia="arial" w:hAnsi="arial" w:cs="arial"/>
          <w:b w:val="0"/>
          <w:i w:val="0"/>
          <w:strike w:val="0"/>
          <w:noProof w:val="0"/>
          <w:color w:val="000000"/>
          <w:position w:val="0"/>
          <w:sz w:val="20"/>
          <w:u w:val="none"/>
          <w:vertAlign w:val="baseline"/>
        </w:rPr>
        <w:t xml:space="preserve"> a Cabell County newspaper. In response, a CAMC marketing department employee emailed the CAMC Director of Marketing, noting that CAMC does not typically advertise in </w:t>
      </w:r>
      <w:r>
        <w:rPr>
          <w:rFonts w:ascii="arial" w:eastAsia="arial" w:hAnsi="arial" w:cs="arial"/>
          <w:b w:val="0"/>
          <w:i/>
          <w:strike w:val="0"/>
          <w:noProof w:val="0"/>
          <w:color w:val="000000"/>
          <w:position w:val="0"/>
          <w:sz w:val="20"/>
          <w:u w:val="none"/>
          <w:vertAlign w:val="baseline"/>
        </w:rPr>
        <w:t>The Herald Dispatch</w:t>
      </w:r>
      <w:r>
        <w:rPr>
          <w:rFonts w:ascii="arial" w:eastAsia="arial" w:hAnsi="arial" w:cs="arial"/>
          <w:b w:val="0"/>
          <w:i w:val="0"/>
          <w:strike w:val="0"/>
          <w:noProof w:val="0"/>
          <w:color w:val="000000"/>
          <w:position w:val="0"/>
          <w:sz w:val="20"/>
          <w:u w:val="none"/>
          <w:vertAlign w:val="baseline"/>
        </w:rPr>
        <w:t xml:space="preserve"> because of its " gentleman's agreement' " with St. Mary's. Consistent with its agreement with St. Mary's, CAMC did not place the newspaper advertisement.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In May 2013, St. Mary's Director of Marketing complained to CAMC's Director of Marketing after CAMC ran a newspaper ad promoting a CAMC physicians' group in </w:t>
      </w:r>
      <w:r>
        <w:rPr>
          <w:rFonts w:ascii="arial" w:eastAsia="arial" w:hAnsi="arial" w:cs="arial"/>
          <w:b w:val="0"/>
          <w:i/>
          <w:strike w:val="0"/>
          <w:noProof w:val="0"/>
          <w:color w:val="000000"/>
          <w:position w:val="0"/>
          <w:sz w:val="20"/>
          <w:u w:val="none"/>
          <w:vertAlign w:val="baseline"/>
        </w:rPr>
        <w:t>The Herald Dispatch,</w:t>
      </w:r>
      <w:r>
        <w:rPr>
          <w:rFonts w:ascii="arial" w:eastAsia="arial" w:hAnsi="arial" w:cs="arial"/>
          <w:b w:val="0"/>
          <w:i w:val="0"/>
          <w:strike w:val="0"/>
          <w:noProof w:val="0"/>
          <w:color w:val="000000"/>
          <w:position w:val="0"/>
          <w:sz w:val="20"/>
          <w:u w:val="none"/>
          <w:vertAlign w:val="baseline"/>
        </w:rPr>
        <w:t xml:space="preserve"> and succeeded in getting CAMC to agree to remove the advertisement. In an email from St. Mary's Director of Marketing to other St. Mary's senior executives, he wrote, "I talked with CAMC and they agreed this ad violated our agreement not to advertise in Charleston paper if they didn't advertise in Huntington paper. Their director of marketing Says she pulled the ad but was concerned it might still run again one more time this Sunday. I can't call the HD [</w:t>
      </w:r>
      <w:r>
        <w:rPr>
          <w:rFonts w:ascii="arial" w:eastAsia="arial" w:hAnsi="arial" w:cs="arial"/>
          <w:b w:val="0"/>
          <w:i/>
          <w:strike w:val="0"/>
          <w:noProof w:val="0"/>
          <w:color w:val="000000"/>
          <w:position w:val="0"/>
          <w:sz w:val="20"/>
          <w:u w:val="none"/>
          <w:vertAlign w:val="baseline"/>
        </w:rPr>
        <w:t>Herald Dispatch</w:t>
      </w:r>
      <w:r>
        <w:rPr>
          <w:rFonts w:ascii="arial" w:eastAsia="arial" w:hAnsi="arial" w:cs="arial"/>
          <w:b w:val="0"/>
          <w:i w:val="0"/>
          <w:strike w:val="0"/>
          <w:noProof w:val="0"/>
          <w:color w:val="000000"/>
          <w:position w:val="0"/>
          <w:sz w:val="20"/>
          <w:u w:val="none"/>
          <w:vertAlign w:val="baseline"/>
        </w:rPr>
        <w:t xml:space="preserve"> ] and make sure because they could challenge this type of handshake agreement That [sic] prevents them from getting advertising dollars from a different advertiser. We'll see and I'll follow up from there but after Sunday I am confident we won't see CAMC again in HD." Consistent with its agreement with St. Mary's, and as described by St. Mary's Director of Marketing, CAMC asked the </w:t>
      </w:r>
      <w:r>
        <w:rPr>
          <w:rFonts w:ascii="arial" w:eastAsia="arial" w:hAnsi="arial" w:cs="arial"/>
          <w:b w:val="0"/>
          <w:i/>
          <w:strike w:val="0"/>
          <w:noProof w:val="0"/>
          <w:color w:val="000000"/>
          <w:position w:val="0"/>
          <w:sz w:val="20"/>
          <w:u w:val="none"/>
          <w:vertAlign w:val="baseline"/>
        </w:rPr>
        <w:t>Herald Dispatch</w:t>
      </w:r>
      <w:r>
        <w:rPr>
          <w:rFonts w:ascii="arial" w:eastAsia="arial" w:hAnsi="arial" w:cs="arial"/>
          <w:b w:val="0"/>
          <w:i w:val="0"/>
          <w:strike w:val="0"/>
          <w:noProof w:val="0"/>
          <w:color w:val="000000"/>
          <w:position w:val="0"/>
          <w:sz w:val="20"/>
          <w:u w:val="none"/>
          <w:vertAlign w:val="baseline"/>
        </w:rPr>
        <w:t xml:space="preserve"> to remove the advertisement.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In June 2014, when a CAMC-owned physicians' group requested marketing in Cabell County, a CAMC marketing department employee responded by telling the group's representative that CAMC does not market specialist physicians in Cabell County and St. Mary's does not market specialists in Kanawha County. Consistent with its agreement with St. Mary's, CAMC refused to market that physicians' group in Cabell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In August 2014, when another CAMC-owned physicians' group requested billboard advertising in Cabell County, a CAMC marketing representative wrote to CAMC's Director of Marketing, "They had asked for print and billboard placement in Huntington. I explained our informal agreement. They understood." CAMC's Director of Marketing replied, "Just watch the county line my friend." Consistent with its agreement with St. Mary's, CAMC did not place print or billboard advertising for the physician practice in Cabell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agreement between CAMC and St. Mary's has eliminated a significant form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attract patients by depriving patients in Kanawha and Cabell Counties of information regarding their healthcare-provider choices and physicians in those counties the opportunity to advertise their services to potential patients.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 PROCOMPETITIVE JUSTIFICATIONS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Defendants' anticompetitive agreement is not reasonably necessary to further any procompetitive purpose.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VIOLATION ALLEGED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Violation of Section 1 of the Sherman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The United States incorporates paragraphs 1 through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CAMC and St. Mary's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healthcare services. Defendants' agreement is facially anticompetitive because it limits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Defendants by allocating territories for the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As a result, the agreement eliminates a significant form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attract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The agreement constitutes an unreasonable restraint of trade that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under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No elaborate analysis is required to demonstrate the anticompetitive effect of this agreement.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requests that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judge that Defendants' agreement limiting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constitutes an illegal restraint of interstate trade in violation of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enjoin Defendants and their members, officers, agents, and employees from continuing or renewing in any manner the conduct alleged herein or from engaging in any other conduct, agreement, or other arrangement having the same effect as the alleged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enjoin each Defendant and its members, officers, agents, and employees from communicating with any other Defendant about any Defendant's marketing, unless such communication: is related to the legitimate joint provision of services; is part of normal due diligence relating to a merger, acquisition, joint venture, investment, or divestiture; or is related to claims or statements made in a Defendant's Marketing that the other Defendant believes are false or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require Defendants to institute a comprehensive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to ensure that Defendants do </w:t>
      </w:r>
      <w:r>
        <w:rPr>
          <w:rFonts w:ascii="arial" w:eastAsia="arial" w:hAnsi="arial" w:cs="arial"/>
          <w:b/>
          <w:i w:val="0"/>
          <w:strike w:val="0"/>
          <w:noProof w:val="0"/>
          <w:color w:val="000000"/>
          <w:position w:val="0"/>
          <w:sz w:val="20"/>
          <w:u w:val="none"/>
          <w:vertAlign w:val="baseline"/>
        </w:rPr>
        <w:t> [*24638] </w:t>
      </w:r>
      <w:r>
        <w:rPr>
          <w:rFonts w:ascii="arial" w:eastAsia="arial" w:hAnsi="arial" w:cs="arial"/>
          <w:b w:val="0"/>
          <w:i w:val="0"/>
          <w:strike w:val="0"/>
          <w:noProof w:val="0"/>
          <w:color w:val="000000"/>
          <w:position w:val="0"/>
          <w:sz w:val="20"/>
          <w:u w:val="none"/>
          <w:vertAlign w:val="baseline"/>
        </w:rPr>
        <w:t xml:space="preserve"> not enter into or attempt to enter into any similar agreements and that Defendants' members, officers, agents, and employees are fully informed of the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the Defendants' businesses;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award Plaintiff its costs in this action and such other relief as may be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for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I. GELFAND,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 MUCCHETTI,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Litigation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M. KANTOR,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Litigation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R. SELTZER,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Litigation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 A. CASTO,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United States Attorney for the Southern District of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Lindsay,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United States Attorney, Robert C. Byrd U.S. Courthouse, Suite 4000, 300 Virginia Street, Charleston, WV 25301, Tel. No. 304-340-2338, </w:t>
      </w:r>
      <w:hyperlink r:id="rId16" w:history="1">
        <w:r>
          <w:rPr>
            <w:rFonts w:ascii="arial" w:eastAsia="arial" w:hAnsi="arial" w:cs="arial"/>
            <w:b w:val="0"/>
            <w:i/>
            <w:strike w:val="0"/>
            <w:noProof w:val="0"/>
            <w:color w:val="0077CC"/>
            <w:position w:val="0"/>
            <w:sz w:val="20"/>
            <w:u w:val="single"/>
            <w:vertAlign w:val="baseline"/>
          </w:rPr>
          <w:t>Matthew.Lindsay@usdoj.gov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KIERNAN,*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L. CREECH,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LOHRER,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GLENN HARRISON,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Attorneys for the 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U.S. Department of Justice, 450 Fifth Street, N.W., Suite 4100, Washington, D.C. 20530 (202) 353-3100 (phone), (202) 307-5802 (fax), </w:t>
      </w:r>
      <w:hyperlink r:id="rId17" w:history="1">
        <w:r>
          <w:rPr>
            <w:rFonts w:ascii="arial" w:eastAsia="arial" w:hAnsi="arial" w:cs="arial"/>
            <w:b w:val="0"/>
            <w:i/>
            <w:strike w:val="0"/>
            <w:noProof w:val="0"/>
            <w:color w:val="0077CC"/>
            <w:position w:val="0"/>
            <w:sz w:val="20"/>
            <w:u w:val="single"/>
            <w:vertAlign w:val="baseline"/>
          </w:rPr>
          <w:t>Kathleen.kiernan@usdoj.gov</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Attorneys for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THE SOUTHERN DISTRICT OF WEST VIRGINIA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CHARLESTON DIVISION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CHARLESTON AREA MEDICAL CENTER, INC. and ST. MARY'S MEDICAL CENTER, INC.,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2:16-cv-03664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John T. Copenhaver,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04/14/2016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14, 2016,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alleging that Defendants Charleston Area Medical Center ("CAMC") and St. Mary's Medical Center ("St. Mary's") violated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The Complaint alleges that CAMC and St. Mary's agreed to unlawfully allocate territories for the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and to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themselves. Specifically, according to the Complaint, CAMC and St. Mary's entered into an agreement under which they agreed not to advertise on billboards or in print in each others' home counties in West Virginia. The agreement eliminated a significant form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attract patients and overall substantially diminished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provide healthcare services. Defendants' agreement to allocate territories for marketing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under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Complaint, the United States filed a Stipulation and proposed Final Judgment that, as explained more fully below, enjoins Defendants from (1) agreeing with any healthcare provider to prohibit or limit marketing or to allocate any service, customer, or geographic market or territory, and (2) communicating with each other about marketing, subject to narrow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Defendants have stipulated that the proposed Final Judgment may be entered after compliance with the APPA. Entry of the proposed Final Judgment would terminate this action, except that this Court would retain jurisdiction to construe, modify, and enforce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VIOLATIONS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on Defendants and Their Marketing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CAMC and St. Mary's are healthcare providers that operate general acute-care hospitals in Charleston, Kanawha County, West Virginia, and Huntington, Cabell County, West Virginia, respectively. CAMC and St. Mary's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to provide hospital and physician services to patients. Hospitals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through price, quality, and other factors to sell their services to patients, employers, and insurance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Marketing is an important tool that hospitals use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patients. Hospitals use marketing to inform patients about a hospital's quality, scope of services, and the expertise of its physicians. Defendants' marketing methods include print advertisements, such as newspaper advertisements, and outdoor advertisements, such as billboards. Healthcare provider advertisements on billboards and newspapers helps enable patients to make more informed healthcare choices, including choosing healthcare providers that offer higher quality care and more convenient services. Advertising also spurs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patients, which can lead hospitals to invest in providing better care and a broader range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Defendants' Unlawful Agreement to Limit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at least 2012, CAMC and St. Mary's have agreed to limit their marketing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CAMC agreed not to place print or outdoor advertisements in Cabell County, and St. Mary's agreed not to place print or outdoor advertisements in Kanawha County. Defendants' marketing departments have monitored and enforced this agreement. Defendants' documents show the impact of this agreement on the Defendants'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2012, a CAMC urology group asked CAMC's marketing department to advertise its physicians in </w:t>
      </w:r>
      <w:r>
        <w:rPr>
          <w:rFonts w:ascii="arial" w:eastAsia="arial" w:hAnsi="arial" w:cs="arial"/>
          <w:b w:val="0"/>
          <w:i/>
          <w:strike w:val="0"/>
          <w:noProof w:val="0"/>
          <w:color w:val="000000"/>
          <w:position w:val="0"/>
          <w:sz w:val="20"/>
          <w:u w:val="none"/>
          <w:vertAlign w:val="baseline"/>
        </w:rPr>
        <w:t>The Herald Dispatch,</w:t>
      </w:r>
      <w:r>
        <w:rPr>
          <w:rFonts w:ascii="arial" w:eastAsia="arial" w:hAnsi="arial" w:cs="arial"/>
          <w:b w:val="0"/>
          <w:i w:val="0"/>
          <w:strike w:val="0"/>
          <w:noProof w:val="0"/>
          <w:color w:val="000000"/>
          <w:position w:val="0"/>
          <w:sz w:val="20"/>
          <w:u w:val="none"/>
          <w:vertAlign w:val="baseline"/>
        </w:rPr>
        <w:t xml:space="preserve"> a Cabell County newspaper. In response, a CAMC marketing department employee emailed the CAMC Director of Marketing, noting that CAMC does not typically advertise in </w:t>
      </w:r>
      <w:r>
        <w:rPr>
          <w:rFonts w:ascii="arial" w:eastAsia="arial" w:hAnsi="arial" w:cs="arial"/>
          <w:b w:val="0"/>
          <w:i/>
          <w:strike w:val="0"/>
          <w:noProof w:val="0"/>
          <w:color w:val="000000"/>
          <w:position w:val="0"/>
          <w:sz w:val="20"/>
          <w:u w:val="none"/>
          <w:vertAlign w:val="baseline"/>
        </w:rPr>
        <w:t>The Herald Dispatch</w:t>
      </w:r>
      <w:r>
        <w:rPr>
          <w:rFonts w:ascii="arial" w:eastAsia="arial" w:hAnsi="arial" w:cs="arial"/>
          <w:b w:val="0"/>
          <w:i w:val="0"/>
          <w:strike w:val="0"/>
          <w:noProof w:val="0"/>
          <w:color w:val="000000"/>
          <w:position w:val="0"/>
          <w:sz w:val="20"/>
          <w:u w:val="none"/>
          <w:vertAlign w:val="baseline"/>
        </w:rPr>
        <w:t xml:space="preserve"> because of its " gentleman's agreement'" with St. Mary's. Consistent with its agreement with St. Mary's, CAMC did not place the newspaper advertisement.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2013, St. Mary's Director of Marketing complained to CAMC's Director of Marketing after CAMC ran a newspaper ad promoting a CAMC physicians' group in </w:t>
      </w:r>
      <w:r>
        <w:rPr>
          <w:rFonts w:ascii="arial" w:eastAsia="arial" w:hAnsi="arial" w:cs="arial"/>
          <w:b w:val="0"/>
          <w:i/>
          <w:strike w:val="0"/>
          <w:noProof w:val="0"/>
          <w:color w:val="000000"/>
          <w:position w:val="0"/>
          <w:sz w:val="20"/>
          <w:u w:val="none"/>
          <w:vertAlign w:val="baseline"/>
        </w:rPr>
        <w:t>The Herald Dispatch,</w:t>
      </w:r>
      <w:r>
        <w:rPr>
          <w:rFonts w:ascii="arial" w:eastAsia="arial" w:hAnsi="arial" w:cs="arial"/>
          <w:b w:val="0"/>
          <w:i w:val="0"/>
          <w:strike w:val="0"/>
          <w:noProof w:val="0"/>
          <w:color w:val="000000"/>
          <w:position w:val="0"/>
          <w:sz w:val="20"/>
          <w:u w:val="none"/>
          <w:vertAlign w:val="baseline"/>
        </w:rPr>
        <w:t xml:space="preserve"> and succeeded in getting CAMC to agree to remove the advertisement. In an email from St. Mary's Director of Marketing to other St. Mary's senior executives, he wrote, "I talked with CAMC and they agreed this ad violated our agreement not to advertise in Charleston paper if they didn't advertise in Huntington paper. Their director of marketing Says she pulled the ad but was concerned it might still run again one more time this Sunday. I can't call the HD [</w:t>
      </w:r>
      <w:r>
        <w:rPr>
          <w:rFonts w:ascii="arial" w:eastAsia="arial" w:hAnsi="arial" w:cs="arial"/>
          <w:b w:val="0"/>
          <w:i/>
          <w:strike w:val="0"/>
          <w:noProof w:val="0"/>
          <w:color w:val="000000"/>
          <w:position w:val="0"/>
          <w:sz w:val="20"/>
          <w:u w:val="none"/>
          <w:vertAlign w:val="baseline"/>
        </w:rPr>
        <w:t>Herald Dispatch</w:t>
      </w:r>
      <w:r>
        <w:rPr>
          <w:rFonts w:ascii="arial" w:eastAsia="arial" w:hAnsi="arial" w:cs="arial"/>
          <w:b w:val="0"/>
          <w:i w:val="0"/>
          <w:strike w:val="0"/>
          <w:noProof w:val="0"/>
          <w:color w:val="000000"/>
          <w:position w:val="0"/>
          <w:sz w:val="20"/>
          <w:u w:val="none"/>
          <w:vertAlign w:val="baseline"/>
        </w:rPr>
        <w:t xml:space="preserve"> ] and make sure because they could challenge this type of handshake agreement That [sic] prevents them from </w:t>
      </w:r>
      <w:r>
        <w:rPr>
          <w:rFonts w:ascii="arial" w:eastAsia="arial" w:hAnsi="arial" w:cs="arial"/>
          <w:b/>
          <w:i w:val="0"/>
          <w:strike w:val="0"/>
          <w:noProof w:val="0"/>
          <w:color w:val="000000"/>
          <w:position w:val="0"/>
          <w:sz w:val="20"/>
          <w:u w:val="none"/>
          <w:vertAlign w:val="baseline"/>
        </w:rPr>
        <w:t> [*24639] </w:t>
      </w:r>
      <w:r>
        <w:rPr>
          <w:rFonts w:ascii="arial" w:eastAsia="arial" w:hAnsi="arial" w:cs="arial"/>
          <w:b w:val="0"/>
          <w:i w:val="0"/>
          <w:strike w:val="0"/>
          <w:noProof w:val="0"/>
          <w:color w:val="000000"/>
          <w:position w:val="0"/>
          <w:sz w:val="20"/>
          <w:u w:val="none"/>
          <w:vertAlign w:val="baseline"/>
        </w:rPr>
        <w:t xml:space="preserve"> getting advertising dollars from a different advertiser. We'll see and I'll follow up from there but after Sunday I am confident we won't see CAMC again in HD." Consistent with its agreement with St. Mary's, and as described by St. Mary's Director of Marketing, CAMC asked the </w:t>
      </w:r>
      <w:r>
        <w:rPr>
          <w:rFonts w:ascii="arial" w:eastAsia="arial" w:hAnsi="arial" w:cs="arial"/>
          <w:b w:val="0"/>
          <w:i/>
          <w:strike w:val="0"/>
          <w:noProof w:val="0"/>
          <w:color w:val="000000"/>
          <w:position w:val="0"/>
          <w:sz w:val="20"/>
          <w:u w:val="none"/>
          <w:vertAlign w:val="baseline"/>
        </w:rPr>
        <w:t>Herald Dispatch</w:t>
      </w:r>
      <w:r>
        <w:rPr>
          <w:rFonts w:ascii="arial" w:eastAsia="arial" w:hAnsi="arial" w:cs="arial"/>
          <w:b w:val="0"/>
          <w:i w:val="0"/>
          <w:strike w:val="0"/>
          <w:noProof w:val="0"/>
          <w:color w:val="000000"/>
          <w:position w:val="0"/>
          <w:sz w:val="20"/>
          <w:u w:val="none"/>
          <w:vertAlign w:val="baseline"/>
        </w:rPr>
        <w:t xml:space="preserve"> to remove the advertisement.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2014, when a CAMC-owned physicians' group requested marketing in Cabell County, a CAMC marketing department employee responded by telling the group's representative that CAMC does not market specialist physicians in Cabell County and St. Mary's does not market specialists in Kanawha County. Consistent with its agreement with St. Mary's, CAMC refused to market that physicians' group in Cabell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2014, when another CAMC-owned physicians' group requested billboard advertising in Cabell County, a CAMC marketing representative wrote to CAMC's Director of Marketing, "They had asked for print and billboard placement in Huntington. I explained our informal agreement. They understood." CAMC's Director of Marketing replied, "Just watch the county line my friend." Consistent with its agreement with St. Mary's, CAMC did not place print or billboard advertising for the physician practice in Cabell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anticompetitive agreement is not reasonably necessary to further any procompetitive purpose. Defendants' agreement allocates territories for marketing and constitutes a naked restraint of trade that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under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United States v. Topco Assocs., Inc., 405 U.S. 596, 607-08 (1972)</w:t>
        </w:r>
      </w:hyperlink>
      <w:r>
        <w:rPr>
          <w:rFonts w:ascii="arial" w:eastAsia="arial" w:hAnsi="arial" w:cs="arial"/>
          <w:b w:val="0"/>
          <w:i w:val="0"/>
          <w:strike w:val="0"/>
          <w:noProof w:val="0"/>
          <w:color w:val="000000"/>
          <w:position w:val="0"/>
          <w:sz w:val="20"/>
          <w:u w:val="none"/>
          <w:vertAlign w:val="baseline"/>
        </w:rPr>
        <w:t xml:space="preserve"> (holding that naked market allocation agreements among horizontal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plainly anticompetitive and illegal per se); </w:t>
      </w:r>
      <w:hyperlink r:id="rId19" w:history="1">
        <w:r>
          <w:rPr>
            <w:rFonts w:ascii="arial" w:eastAsia="arial" w:hAnsi="arial" w:cs="arial"/>
            <w:b w:val="0"/>
            <w:i/>
            <w:strike w:val="0"/>
            <w:noProof w:val="0"/>
            <w:color w:val="0077CC"/>
            <w:position w:val="0"/>
            <w:sz w:val="20"/>
            <w:u w:val="single"/>
            <w:vertAlign w:val="baseline"/>
          </w:rPr>
          <w:t>United States v. Cooperative Theatres of Ohio, Inc., 845 F.2d 1367, 1371, 1373 (6th Cir. 1988)</w:t>
        </w:r>
      </w:hyperlink>
      <w:r>
        <w:rPr>
          <w:rFonts w:ascii="arial" w:eastAsia="arial" w:hAnsi="arial" w:cs="arial"/>
          <w:b w:val="0"/>
          <w:i w:val="0"/>
          <w:strike w:val="0"/>
          <w:noProof w:val="0"/>
          <w:color w:val="000000"/>
          <w:position w:val="0"/>
          <w:sz w:val="20"/>
          <w:u w:val="none"/>
          <w:vertAlign w:val="baseline"/>
        </w:rPr>
        <w:t xml:space="preserve"> (holding that the defendants' agreement to not " </w:t>
      </w:r>
      <w:r>
        <w:rPr>
          <w:rFonts w:ascii="arial" w:eastAsia="arial" w:hAnsi="arial" w:cs="arial"/>
          <w:b w:val="0"/>
          <w:i/>
          <w:strike w:val="0"/>
          <w:noProof w:val="0"/>
          <w:color w:val="000000"/>
          <w:position w:val="0"/>
          <w:sz w:val="20"/>
          <w:u w:val="none"/>
          <w:vertAlign w:val="baseline"/>
        </w:rPr>
        <w:t>actively</w:t>
      </w:r>
      <w:r>
        <w:rPr>
          <w:rFonts w:ascii="arial" w:eastAsia="arial" w:hAnsi="arial" w:cs="arial"/>
          <w:b w:val="0"/>
          <w:i w:val="0"/>
          <w:strike w:val="0"/>
          <w:noProof w:val="0"/>
          <w:color w:val="000000"/>
          <w:position w:val="0"/>
          <w:sz w:val="20"/>
          <w:u w:val="none"/>
          <w:vertAlign w:val="baseline"/>
        </w:rPr>
        <w:t xml:space="preserve"> solicit[] each other's customers" was "undeniably a type of customer allocation scheme which courts have often condemned in the past 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w:t>
      </w:r>
      <w:hyperlink r:id="rId20" w:history="1">
        <w:r>
          <w:rPr>
            <w:rFonts w:ascii="arial" w:eastAsia="arial" w:hAnsi="arial" w:cs="arial"/>
            <w:b w:val="0"/>
            <w:i/>
            <w:strike w:val="0"/>
            <w:noProof w:val="0"/>
            <w:color w:val="0077CC"/>
            <w:position w:val="0"/>
            <w:sz w:val="20"/>
            <w:u w:val="single"/>
            <w:vertAlign w:val="baseline"/>
          </w:rPr>
          <w:t>Blackburn v. Sweeney, 53 F.3d 825, 828 (7th Cir. 1995)</w:t>
        </w:r>
      </w:hyperlink>
      <w:r>
        <w:rPr>
          <w:rFonts w:ascii="arial" w:eastAsia="arial" w:hAnsi="arial" w:cs="arial"/>
          <w:b w:val="0"/>
          <w:i w:val="0"/>
          <w:strike w:val="0"/>
          <w:noProof w:val="0"/>
          <w:color w:val="000000"/>
          <w:position w:val="0"/>
          <w:sz w:val="20"/>
          <w:u w:val="none"/>
          <w:vertAlign w:val="baseline"/>
        </w:rPr>
        <w:t xml:space="preserve"> (holding that the "[a]greement to limit advertising to different geographical regions was intended to be, and sufficiently approximates[,] an agreement to allocate markets so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of illegality applies").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will prevent the continuation and recurrence of the violations alleged in the Complaint and restore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restrained by Defendants' anticompetitive agreement. Section VIII of the proposed Final Judgment provides that these provisions will expire five years after its entry.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Prohibited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IV of the proposed Final Judgment, Defendants cannot agree with any healthcare provider to prohibit or limit marketing or to allocate any service, customer, or geographic market or territory, unless such agreement is reasonably necessary to further a procompetitive purpose concerning the joint provision of services. The joint provision of services is any past, present, or future coordinated delivery of any healthcare services by two or more healthcare providers. Defendants also are prohibited from communicating with each other about any Defendant's marketing, subject to three narrow exceptions. There is an exception for communication about joint marketing if the communication is related to the joint provision of services. In addition, there are exceptions for communications about marketing that are part of customary due diligence relating to a merger, acquisition, joint venture, investment, or divestiture, and communications about false or misleading statements made in a Defendant's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prohibited conduct provisions will restore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lost as a result of CAMC's and St. Mary's unlawful agreement to allocate territories for the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Compliance and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sets forth various provisions to ensure Defendants' compliance with the proposed Final Judgment. Section V of the proposed Final Judgment requires each Defendant to appoint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within 30 days of the Final Judgment's entry.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must furnish copies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the Final Judgment, and an approved notice explaining the obligations of the Final Judgment to each Defendant's officers, directors, and marketing managers, and to any person who succeeds to any such position.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must also obtain from each recipient a certification that he or she has read and agreed to abide by the terms of the Final Judgment, and must maintain a record of all certifications received. Recipients must also certify that they are not aware of any violation of the Final Judgment. Additionally, each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 annually brief each person required to receive a copy of the Final Judgment and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on the meaning and requirements of the Final Judgment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 also annually communicate to all employees that any employee may disclose, without reprisal, information concerning any potential violation of the Final Judgment 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period of five years following the date of entry of the Final Judgment, the Defendants separately must certify annually to the United States that they have complied with the provisions of the Final Judgment. Additionally, upon learning of any violation or potential violation of the terms and conditions of the Final Judgment, Defendants must within thirty days file with the United States a statement describing the violation or potential violation, and must promptly take action to terminate or modify the activity in order to comply with the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monitoring of the Defendants' compliance with the Final Judgment, Section VI of the proposed Final Judgment requires each Defendant to grant the United States access, upon reasonable notice, to Defendant's records and documents relating to matters contained in the Final Judgment. Defendants must also make their employees available for interviews or depositions and answer interrogatories and prepare written reports relating to matters contained in the Final Judgment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are designed to prevent recurrence of the type of illegal conduct alleged in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21"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xml:space="preserve">, the proposed Final Judgment has no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effect in </w:t>
      </w:r>
      <w:r>
        <w:rPr>
          <w:rFonts w:ascii="arial" w:eastAsia="arial" w:hAnsi="arial" w:cs="arial"/>
          <w:b/>
          <w:i w:val="0"/>
          <w:strike w:val="0"/>
          <w:noProof w:val="0"/>
          <w:color w:val="000000"/>
          <w:position w:val="0"/>
          <w:sz w:val="20"/>
          <w:u w:val="none"/>
          <w:vertAlign w:val="baseline"/>
        </w:rPr>
        <w:t> [*24640] </w:t>
      </w:r>
      <w:r>
        <w:rPr>
          <w:rFonts w:ascii="arial" w:eastAsia="arial" w:hAnsi="arial" w:cs="arial"/>
          <w:b w:val="0"/>
          <w:i w:val="0"/>
          <w:strike w:val="0"/>
          <w:noProof w:val="0"/>
          <w:color w:val="000000"/>
          <w:position w:val="0"/>
          <w:sz w:val="20"/>
          <w:u w:val="none"/>
          <w:vertAlign w:val="baseline"/>
        </w:rPr>
        <w:t xml:space="preserve"> any subsequent private lawsuit that may be brought against the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days preceding the effective date of the proposed Final Judgment within which any person may submit to the United States written comments regarding the proposed Final Judgment. Any person who wishes to comment should do so within sixty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 Mucchetti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Litigation I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4100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the Defendants. The United States is satisfied, however, that the relief proposed in the Final Judgment will prevent the recurrence of the violation alleged in the Complaint and ensure that patients and physicians benefit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Defendants. Thus, the proposed Final Judgment would achieve all or substantially all of the relief the United States would have obtained through litigation, but avoids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because the government is entitled to "broad discretion to settle with the Defendant within the reaches of the public interest." </w:t>
      </w:r>
      <w:hyperlink r:id="rId22"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3"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the court has broad discretion over the adequacy of the relief at issue); </w:t>
      </w:r>
      <w:hyperlink r:id="rId24"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(describing the public-interest standard under the Tunney Act); </w:t>
      </w:r>
      <w:hyperlink r:id="rId25" w:history="1">
        <w:r>
          <w:rPr>
            <w:rFonts w:ascii="arial" w:eastAsia="arial" w:hAnsi="arial" w:cs="arial"/>
            <w:b w:val="0"/>
            <w:i/>
            <w:strike w:val="0"/>
            <w:noProof w:val="0"/>
            <w:color w:val="0077CC"/>
            <w:position w:val="0"/>
            <w:sz w:val="20"/>
            <w:u w:val="single"/>
            <w:vertAlign w:val="baseline"/>
          </w:rPr>
          <w:t>United States v. InBev N.V./S.A., No. 08-1965 (JR),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mechanisms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6"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7"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2"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One court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[e]nsuring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w:t>
      </w:r>
      <w:r>
        <w:rPr>
          <w:rFonts w:ascii="arial" w:eastAsia="arial" w:hAnsi="arial" w:cs="arial"/>
          <w:b/>
          <w:i w:val="0"/>
          <w:strike w:val="0"/>
          <w:noProof w:val="0"/>
          <w:color w:val="000000"/>
          <w:position w:val="0"/>
          <w:sz w:val="20"/>
          <w:u w:val="none"/>
          <w:vertAlign w:val="baseline"/>
        </w:rPr>
        <w:t> [*24641] </w:t>
      </w:r>
      <w:r>
        <w:rPr>
          <w:rFonts w:ascii="arial" w:eastAsia="arial" w:hAnsi="arial" w:cs="arial"/>
          <w:b w:val="0"/>
          <w:i w:val="0"/>
          <w:strike w:val="0"/>
          <w:noProof w:val="0"/>
          <w:color w:val="000000"/>
          <w:position w:val="0"/>
          <w:sz w:val="20"/>
          <w:u w:val="none"/>
          <w:vertAlign w:val="baseline"/>
        </w:rPr>
        <w:t xml:space="preserve"> the government's predictions about the efficacy of its remedies, and may not require that the remedies perfectly match the alleged violations." </w:t>
      </w:r>
      <w:hyperlink r:id="rId24"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2"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9"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6"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30"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2"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2"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4"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2"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5"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2"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a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4"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using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a court is not required to hold an evidentiary hearing or to permit intervenors as part of its review under the Tunney Act). The language captured Congress's intent when it enacted the Tunney Act in 1974.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public-interest determination is left to the discretion of the court, with the recognition that the court's "scope of review remains sharply proscribed by precedent and the nature of Tunney Act proceedings." </w:t>
      </w:r>
      <w:hyperlink r:id="rId24"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3"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31"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2"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Kiernan,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Trial Attorney,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U.S. Department of Justice, Litigation I Section, 450 Fifth Street NW., Suite 4100, Washington, DC 20530, Phone: (202) 353-3100, DC Bar # 1003748, Email: </w:t>
      </w:r>
      <w:hyperlink r:id="rId17" w:history="1">
        <w:r>
          <w:rPr>
            <w:rFonts w:ascii="arial" w:eastAsia="arial" w:hAnsi="arial" w:cs="arial"/>
            <w:b w:val="0"/>
            <w:i/>
            <w:strike w:val="0"/>
            <w:noProof w:val="0"/>
            <w:color w:val="0077CC"/>
            <w:position w:val="0"/>
            <w:sz w:val="20"/>
            <w:u w:val="single"/>
            <w:vertAlign w:val="baseline"/>
          </w:rPr>
          <w:t>Kathleen.Kiernan@usdoj.gov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 A. CASTO,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United States Attorney for the Southern District of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Lindsay,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United States Attorney, Robert C. Byrd U.S. Courthouse, Suite 4000, 300 Virginia Street, Charleston, WV 25301, Tel. No. 304-340-2338, </w:t>
      </w:r>
      <w:hyperlink r:id="rId16" w:history="1">
        <w:r>
          <w:rPr>
            <w:rFonts w:ascii="arial" w:eastAsia="arial" w:hAnsi="arial" w:cs="arial"/>
            <w:b w:val="0"/>
            <w:i/>
            <w:strike w:val="0"/>
            <w:noProof w:val="0"/>
            <w:color w:val="0077CC"/>
            <w:position w:val="0"/>
            <w:sz w:val="20"/>
            <w:u w:val="single"/>
            <w:vertAlign w:val="baseline"/>
          </w:rPr>
          <w:t>Matthew.Lindsay@usdoj.gov</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CERTIFICATE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hereby certify that on April 14, 2016, I electronically filed the foregoing paper with the Clerk of the Court using the ECF system and sent it via email to the following counsel at the email addresses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Counsel for Defendant Charleston Area Medical Center,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W. McCann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Drinker Biddle &amp; Reath LLP</w:t>
      </w:r>
    </w:p>
    <w:p>
      <w:pPr>
        <w:keepNext w:val="0"/>
        <w:spacing w:before="240" w:after="0" w:line="260" w:lineRule="atLeast"/>
        <w:ind w:left="0" w:right="0" w:firstLine="0"/>
        <w:jc w:val="both"/>
      </w:pPr>
      <w:hyperlink r:id="rId33" w:history="1">
        <w:r>
          <w:rPr>
            <w:rFonts w:ascii="arial" w:eastAsia="arial" w:hAnsi="arial" w:cs="arial"/>
            <w:b w:val="0"/>
            <w:i/>
            <w:strike w:val="0"/>
            <w:color w:val="0077CC"/>
            <w:sz w:val="20"/>
            <w:u w:val="single"/>
            <w:vertAlign w:val="baseline"/>
          </w:rPr>
          <w:t>Robert.McCann@dbr.com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Counsel for Defendant St. Mary's Medical Center,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Simon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Foley &amp; Lardner LLP</w:t>
      </w:r>
    </w:p>
    <w:p>
      <w:pPr>
        <w:keepNext w:val="0"/>
        <w:spacing w:before="240" w:after="0" w:line="260" w:lineRule="atLeast"/>
        <w:ind w:left="0" w:right="0" w:firstLine="0"/>
        <w:jc w:val="both"/>
      </w:pPr>
      <w:hyperlink r:id="rId34" w:history="1">
        <w:r>
          <w:rPr>
            <w:rFonts w:ascii="arial" w:eastAsia="arial" w:hAnsi="arial" w:cs="arial"/>
            <w:b w:val="0"/>
            <w:i/>
            <w:strike w:val="0"/>
            <w:color w:val="0077CC"/>
            <w:sz w:val="20"/>
            <w:u w:val="single"/>
            <w:vertAlign w:val="baseline"/>
          </w:rPr>
          <w:t>DSimon@foley.com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Kiernan,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Trial Attorney,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U.S. Department of Justice, Litigation I Section, 450 Fifth Street NW., Suite 4100, Washington, DC 20530, Phone: (202) 353-3100, DC Bar # 1003748, Email: </w:t>
      </w:r>
      <w:hyperlink r:id="rId17" w:history="1">
        <w:r>
          <w:rPr>
            <w:rFonts w:ascii="arial" w:eastAsia="arial" w:hAnsi="arial" w:cs="arial"/>
            <w:b w:val="0"/>
            <w:i/>
            <w:strike w:val="0"/>
            <w:noProof w:val="0"/>
            <w:color w:val="0077CC"/>
            <w:position w:val="0"/>
            <w:sz w:val="20"/>
            <w:u w:val="single"/>
            <w:vertAlign w:val="baseline"/>
          </w:rPr>
          <w:t>Kathleen.Kiernan@usdoj.gov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THE SOUTHERN DISTRICT OF WEST VIRGINIA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CHARLESTON DIVISION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CHARLESTON AREA MEDICAL CENTER, INC. and ST. MARY'S MEDICAL CENTER, INC.,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2:16-cv-03664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John T. Copenhaver,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FILED: 04/14/2016 </w:t>
      </w:r>
      <w:r>
        <w:rPr>
          <w:rFonts w:ascii="arial" w:eastAsia="arial" w:hAnsi="arial" w:cs="arial"/>
          <w:b/>
          <w:i w:val="0"/>
          <w:strike w:val="0"/>
          <w:noProof w:val="0"/>
          <w:color w:val="000000"/>
          <w:position w:val="0"/>
          <w:sz w:val="20"/>
          <w:u w:val="none"/>
          <w:vertAlign w:val="baseline"/>
        </w:rPr>
        <w:t> [*24642]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xml:space="preserve"> Plaintiff the United States of America filed its Complaint on April 14, 2016, alleging that Defendants violated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Plaintiff and Defendants Charleston Area Medical Center, Inc. and St. Mary's Medical Center, Inc., by their respective attorneys, have consented to the entry of this Final Judgment without trial or adjudication of any issue of fact or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Plaintiff requires the Defendants to agree to undertake certain actions and refrain from certain conduct for the purpose of remedying the anticompetitive effects alleged in the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Now therefore,</w:t>
      </w:r>
      <w:r>
        <w:rPr>
          <w:rFonts w:ascii="arial" w:eastAsia="arial" w:hAnsi="arial" w:cs="arial"/>
          <w:b w:val="0"/>
          <w:i w:val="0"/>
          <w:strike w:val="0"/>
          <w:noProof w:val="0"/>
          <w:color w:val="000000"/>
          <w:position w:val="0"/>
          <w:sz w:val="20"/>
          <w:u w:val="none"/>
          <w:vertAlign w:val="baseline"/>
        </w:rPr>
        <w:t xml:space="preserve"> before any testimony is taken, without this Final Judgment constituting any evidence against or admission by Defendants regarding any issue of fact or law, and upon consent of the parties to this action, it is </w:t>
      </w:r>
      <w:r>
        <w:rPr>
          <w:rFonts w:ascii="arial" w:eastAsia="arial" w:hAnsi="arial" w:cs="arial"/>
          <w:b w:val="0"/>
          <w:i/>
          <w:strike w:val="0"/>
          <w:noProof w:val="0"/>
          <w:color w:val="000000"/>
          <w:position w:val="0"/>
          <w:sz w:val="20"/>
          <w:u w:val="none"/>
          <w:vertAlign w:val="baseline"/>
        </w:rPr>
        <w:t>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the subject matter of and each of the parties to this action. The Complaint states a claim upon which relief may be granted against the Defendants under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"Agreement" means any contract, arrangement, or understanding, formal or informal, oral or written, between two or more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"CAMC" means Defendant Charleston Area Medical Center, Inc., a nonprofit hospital system organized and existing under the laws of West Virginia with its headquarters in Charleston, West Virginia, its successors and assigns, and its controlled subsidiaries, divisions, groups, affiliates, partnerships, and joint ventures, and their respective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"Communicate" means to discuss, disclose, transfer, disseminate, or exchange information or opinion, formally or informally, directly or indirectly, in any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"Joint Provision of Services" means any past, present, or future joint health education campaign or coordinated delivery of any healthcare services by two or more healthcare providers, including a clinical affiliation, joint venture, management agreement, accountable care organization, clinically integrated network, group purchasing organization, management services organization, or physician hospital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"Marketing" means any past, present, or future activities that are involved in making persons aware of the services or products of the hospital or of physicians employed or with privileges at the hospital, including advertising, communications, public relations, provider network development, outreach to employers or physicians, and promotions, such as free health screenings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"Marketing Manager" means any company employee or manager with management responsibility for or oversight of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"Person" means any natural person, corporation, firm, company, sole proprietorship, partnership, joint venture, association, institute, governmental unit, or other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"Provider" means any health care professional or group of professionals and any inpatient or outpatient medical facility including hospitals, ambulatory surgical centers, urgent care facilities, and nursing facilities. A health insurance plan, health maintenance organization, or other third party payor of health care services, acting in that capacity, is not a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"Relevant Area" means the state of West Virginia; Boyd County, Kentucky; and Lawrence County,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"St. Mary's" means Defendant St. Mary's Medical Center, Inc., a nonprofit hospital organized and existing under the laws of West Virginia with its headquarters in Huntington, West Virginia, its successors and assigns, and its controlled subsidiaries, divisions, groups, affiliates, partnerships, and joint ventures, and their respective directors, officers, managers, agents, and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Judgment applies to the Defendants,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PROHIBITED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Each Defendant shall not enter into, attempt to enter into, maintain, or enforce any Agreement with any other Provider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prohibits or limits Marketing;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allocates any service, customer, or geographic market or territory between or among the Defendant and any other Provider, unless such Agreement is reasonably necessary to further a procompetitive purpose concerning the Joint Provision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Defendant shall not communicate with the other Defendant about any Defendant's Marketing, except each Defendant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communicate with the other Defendant about joint Marketing if the communication is related to the Joint Provision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communicate with the other Defendant about Marketing if the communication is part of customary due diligence relating to a merger, acquisition, joint venture, investment, or divestiture;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communicate with the other Defendant about claims or statements made in the other Defendant's Marketing that the Defendant believes are false or misleading, or to respond to such communications from the other Defendant.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REQUIRED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Within 30 days of entry of this Final Judgment, each Defendant shall appoint, subject to the approval of the United States,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In the event such person is unable to perform his or her duties, each Defendant shall appoint, subject to the approval of the United States, a replacement within ten (10) working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Each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furnish a copy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 cover letter that is identical in content to Exhibit 1 within 60 days of entry of the Final Judgment to that Defendant's officers, directors, and Marketing Managers, and to any person who succeeds to any such position, within 30 days of that succession;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annually brief each person designated in Section V(B)(1) on the meaning and requirements of this Final Judgment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obtain from each person designated in Section V(B)(1), within 60 days of that person's receipt of the Final Judgment, a certification that he or she (i) has read and, to the best of his or her ability, understands and agrees to abide by the terms of this Final Judgment; (ii) is not aware of any violation of the Final Judgment that has not already been reported to the Defendant; and (iii) understands that any person's failure to comply with this Final Judgment may result in an enforcement action for civil or criminal contempt of court against each Defendant and/or any person who violates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maintain a record of certifications obtained pursuant to this Section;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annually communicate to all of the Defendant's employees that they may disclose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without reprisal, information </w:t>
      </w:r>
      <w:r>
        <w:rPr>
          <w:rFonts w:ascii="arial" w:eastAsia="arial" w:hAnsi="arial" w:cs="arial"/>
          <w:b/>
          <w:i w:val="0"/>
          <w:strike w:val="0"/>
          <w:noProof w:val="0"/>
          <w:color w:val="000000"/>
          <w:position w:val="0"/>
          <w:sz w:val="20"/>
          <w:u w:val="none"/>
          <w:vertAlign w:val="baseline"/>
        </w:rPr>
        <w:t> [*24643] </w:t>
      </w:r>
      <w:r>
        <w:rPr>
          <w:rFonts w:ascii="arial" w:eastAsia="arial" w:hAnsi="arial" w:cs="arial"/>
          <w:b w:val="0"/>
          <w:i w:val="0"/>
          <w:strike w:val="0"/>
          <w:noProof w:val="0"/>
          <w:color w:val="000000"/>
          <w:position w:val="0"/>
          <w:sz w:val="20"/>
          <w:u w:val="none"/>
          <w:vertAlign w:val="baseline"/>
        </w:rPr>
        <w:t xml:space="preserve"> concerning any potential violation of this Final Judgment 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Each Defendant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upon learning of any violation or potential violation of any of the terms and conditions contained in this Final Judgment, promptly take appropriate action to terminate or modify the activity so as to comply with this Final Judgment and maintain all documents related to any violation or potential violation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file with the United States a statement describing any violation or potential violation within 30 days of a violation or potential violation becoming known. Descriptions of violations or potential violations of this Final Judgment shall include, to the extent practicable, a description of any communications constituting the violation or potential violation, including the date and place of the communication, the persons involved, and the subject matter of the communication;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certify to the United States annually on the anniversary date of the entry of this Final Judgment that the Defendant has complied with all of the provisions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or of determining whether the Final Judgment should be modified or vacated, and subject to any legally recognized privilege, from time to time authorized representatives of the United States Department of Justice, including consultants and other retained persons, shall,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directors, employees, or agents, who may have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five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Final Judgment, any notice or other communication required to be filed with or provided to the United States shall be sent to the person at the addresses set forth below (or such other address as the United States may specify in writing to any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Litigation 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Suite 4100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 Dwane L. Tinsley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Magistrate Judge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Exhibit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[Letterhead of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 and Address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[XX]: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providing you this letter to make sure you know about a court order recently entered by a federal judge in Charleston, West Virginia. This order applies to [Defendant] and all of its employees, including you, so it is important that you understand the obligations it imposes on us. [CEO Name] has asked me to let each of you know that s/he expects you to take these obligations seriously and abide by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order, we are prohibited from agreeing with other healthcare providers (including hospitals and physicians) to limit marketing or to divide any services, customers, or geographic markets or territories between us and other healthcare providers. This means you may not promise, tell, agree with, or give any assurance to another healthcare provider that [Defendant] will refrain from marketing our services to any customer or in any particular geographic area, and you may not ask for any promise, agreement, or assurance from them that they will refrain from marketing their services to any customer or in any particular geographic area. In addition, you may not communicate with [other Defendant] or its employees about our marketing plans or their marketing plans. (While there are a few limited exceptions to this rule, such as discussing joint projects, you must check with me before you communicate </w:t>
      </w:r>
      <w:r>
        <w:rPr>
          <w:rFonts w:ascii="arial" w:eastAsia="arial" w:hAnsi="arial" w:cs="arial"/>
          <w:b/>
          <w:i w:val="0"/>
          <w:strike w:val="0"/>
          <w:noProof w:val="0"/>
          <w:color w:val="000000"/>
          <w:position w:val="0"/>
          <w:sz w:val="20"/>
          <w:u w:val="none"/>
          <w:vertAlign w:val="baseline"/>
        </w:rPr>
        <w:t> [*24644] </w:t>
      </w:r>
      <w:r>
        <w:rPr>
          <w:rFonts w:ascii="arial" w:eastAsia="arial" w:hAnsi="arial" w:cs="arial"/>
          <w:b w:val="0"/>
          <w:i w:val="0"/>
          <w:strike w:val="0"/>
          <w:noProof w:val="0"/>
          <w:color w:val="000000"/>
          <w:position w:val="0"/>
          <w:sz w:val="20"/>
          <w:u w:val="none"/>
          <w:vertAlign w:val="baseline"/>
        </w:rPr>
        <w:t xml:space="preserve"> with anyone from [other Defendant] about marketing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copy of the court order is attached. Please read it carefully and familiarize yourself with its terms. The order, rather than the above description, is controlling. If you have any questions about the order or how it affects your activities, please contact me. Thank you for your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2016-09728 Filed 4-25-16;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24636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X1-NRF4-44J4-00000-00&amp;context=" TargetMode="External" /><Relationship Id="rId11" Type="http://schemas.openxmlformats.org/officeDocument/2006/relationships/hyperlink" Target="https://advance.lexis.com/api/document?collection=statutes-legislation&amp;id=urn:contentItem:4YF7-GN81-NRF4-4291-00000-00&amp;context=" TargetMode="External" /><Relationship Id="rId12" Type="http://schemas.openxmlformats.org/officeDocument/2006/relationships/hyperlink" Target="https://advance.lexis.com/api/document?collection=statutes-legislation&amp;id=urn:contentItem:4YF7-GR51-NRF4-407Y-00000-00&amp;context=" TargetMode="External" /><Relationship Id="rId13" Type="http://schemas.openxmlformats.org/officeDocument/2006/relationships/hyperlink" Target="https://advance.lexis.com/api/document?collection=statutes-legislation&amp;id=urn:contentItem:4YF7-GSN1-NRF4-44MM-00000-00&amp;context=" TargetMode="External" /><Relationship Id="rId14" Type="http://schemas.openxmlformats.org/officeDocument/2006/relationships/hyperlink" Target="https://advance.lexis.com/api/document?collection=statutes-legislation&amp;id=urn:contentItem:4YF7-GTT1-NRF4-4066-00000-00&amp;context=" TargetMode="External" /><Relationship Id="rId15" Type="http://schemas.openxmlformats.org/officeDocument/2006/relationships/hyperlink" Target="https://advance.lexis.com/api/document?collection=statutes-legislation&amp;id=urn:contentItem:4YF7-GMT1-NRF4-42Y0-00000-00&amp;context=" TargetMode="External" /><Relationship Id="rId16" Type="http://schemas.openxmlformats.org/officeDocument/2006/relationships/hyperlink" Target="mailto:Matthew.Lindsay@usdoj.gov" TargetMode="External" /><Relationship Id="rId17" Type="http://schemas.openxmlformats.org/officeDocument/2006/relationships/hyperlink" Target="mailto:Kathleen.kiernan@usdoj.gov" TargetMode="External" /><Relationship Id="rId18" Type="http://schemas.openxmlformats.org/officeDocument/2006/relationships/hyperlink" Target="https://advance.lexis.com/api/document?collection=cases&amp;id=urn:contentItem:3S4X-D970-003B-S3X4-00000-00&amp;context=" TargetMode="External" /><Relationship Id="rId19" Type="http://schemas.openxmlformats.org/officeDocument/2006/relationships/hyperlink" Target="https://advance.lexis.com/api/document?collection=cases&amp;id=urn:contentItem:3S4X-27J0-001B-K3F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FDN0-001T-D0B2-00000-00&amp;context=" TargetMode="External" /><Relationship Id="rId21" Type="http://schemas.openxmlformats.org/officeDocument/2006/relationships/hyperlink" Target="https://advance.lexis.com/api/document?collection=statutes-legislation&amp;id=urn:contentItem:4YF7-GTP1-NRF4-44B7-00000-00&amp;context=" TargetMode="External" /><Relationship Id="rId22" Type="http://schemas.openxmlformats.org/officeDocument/2006/relationships/hyperlink" Target="https://advance.lexis.com/api/document?collection=cases&amp;id=urn:contentItem:3RTP-83N0-001T-D0C7-00000-00&amp;context=" TargetMode="External" /><Relationship Id="rId23" Type="http://schemas.openxmlformats.org/officeDocument/2006/relationships/hyperlink" Target="https://advance.lexis.com/api/document?collection=cases&amp;id=urn:contentItem:5C2F-7GX1-F04C-Y0FY-00000-00&amp;context=" TargetMode="External" /><Relationship Id="rId24" Type="http://schemas.openxmlformats.org/officeDocument/2006/relationships/hyperlink" Target="https://advance.lexis.com/api/document?collection=cases&amp;id=urn:contentItem:4NCK-65B0-TVT3-D3DR-00000-00&amp;context=" TargetMode="External" /><Relationship Id="rId25" Type="http://schemas.openxmlformats.org/officeDocument/2006/relationships/hyperlink" Target="https://advance.lexis.com/api/document?collection=cases&amp;id=urn:contentItem:4X85-40M0-TXFP-H385-00000-00&amp;context=" TargetMode="External" /><Relationship Id="rId26" Type="http://schemas.openxmlformats.org/officeDocument/2006/relationships/hyperlink" Target="https://advance.lexis.com/api/document?collection=cases&amp;id=urn:contentItem:3S4W-Y8S0-001B-K1MJ-00000-00&amp;context=" TargetMode="External" /><Relationship Id="rId27" Type="http://schemas.openxmlformats.org/officeDocument/2006/relationships/hyperlink" Target="https://advance.lexis.com/api/document?collection=cases&amp;id=urn:contentItem:3S4X-16H0-0039-W1PJ-00000-00&amp;context=" TargetMode="External" /><Relationship Id="rId28" Type="http://schemas.openxmlformats.org/officeDocument/2006/relationships/hyperlink" Target="https://advance.lexis.com/api/document?collection=cases&amp;id=urn:contentItem:44N5-9DK0-0038-Y4CW-00000-00&amp;context=" TargetMode="External" /><Relationship Id="rId29" Type="http://schemas.openxmlformats.org/officeDocument/2006/relationships/hyperlink" Target="https://advance.lexis.com/api/document?collection=cases&amp;id=urn:contentItem:494T-VD60-0038-Y0P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V-KH30-0054-6289-00000-00&amp;context=" TargetMode="External" /><Relationship Id="rId31" Type="http://schemas.openxmlformats.org/officeDocument/2006/relationships/hyperlink" Target="https://advance.lexis.com/api/document?collection=cases&amp;id=urn:contentItem:40T2-X8J0-0038-Y2SJ-00000-00&amp;context=" TargetMode="External" /><Relationship Id="rId32" Type="http://schemas.openxmlformats.org/officeDocument/2006/relationships/hyperlink" Target="https://advance.lexis.com/api/document?collection=cases&amp;id=urn:contentItem:3S4N-V3J0-0054-72HT-00000-00&amp;context=" TargetMode="External" /><Relationship Id="rId33" Type="http://schemas.openxmlformats.org/officeDocument/2006/relationships/hyperlink" Target="mailto:Robert.McCann@dbr.com" TargetMode="External" /><Relationship Id="rId34" Type="http://schemas.openxmlformats.org/officeDocument/2006/relationships/hyperlink" Target="mailto:DSimon@foley.com" TargetMode="Externa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MG-9130-006W-84Y6-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www.justice.gov/at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73212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71337542</vt:lpwstr>
  </property>
  <property fmtid="{D5CDD505-2E9C-101B-9397-08002B2CF9AE}" pid="3" name="LADocCount">
    <vt:lpwstr>1</vt:lpwstr>
  </property>
  <property fmtid="{D5CDD505-2E9C-101B-9397-08002B2CF9AE}" pid="4" name="UserPermID">
    <vt:lpwstr>urn:user:PA185916758</vt:lpwstr>
  </property>
</Properties>
</file>