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24880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081, Wednesday, April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24880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Len Blavatnik;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Len Blavatnik,</w:t>
      </w:r>
      <w:r>
        <w:rPr>
          <w:rFonts w:ascii="arial" w:eastAsia="arial" w:hAnsi="arial" w:cs="arial"/>
          <w:b w:val="0"/>
          <w:i w:val="0"/>
          <w:strike w:val="0"/>
          <w:noProof w:val="0"/>
          <w:color w:val="000000"/>
          <w:position w:val="0"/>
          <w:sz w:val="20"/>
          <w:u w:val="none"/>
          <w:vertAlign w:val="baseline"/>
        </w:rPr>
        <w:t xml:space="preserve"> Civil Action No. 1:15-cv-01631-RDM. On October 6, 2015, the United States filed a Complaint alleging that Len Blavatnik violated the premerger notification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with respect to his acquisition of voting securities of TangoMe, Inc. The proposed Final Judgment, filed at the same time as the Complaint, requires Blavatnik to pay a civil penalty of $ 656,000.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c/o Department of Justice, Washington, D.C. 20530, Plaintiff, v. LEN BLAVATNIK c/o Access Industries, 28 Kensington Church Street, 4th Floor, London, United Kingdom W8 4EP,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Randolph D. Moss </w:t>
      </w:r>
      <w:r>
        <w:rPr>
          <w:rFonts w:ascii="arial" w:eastAsia="arial" w:hAnsi="arial" w:cs="arial"/>
          <w:b/>
          <w:i w:val="0"/>
          <w:strike w:val="0"/>
          <w:noProof w:val="0"/>
          <w:color w:val="000000"/>
          <w:position w:val="0"/>
          <w:sz w:val="20"/>
          <w:u w:val="none"/>
          <w:vertAlign w:val="baseline"/>
        </w:rPr>
        <w:t> [*24881]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10/06/2015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 FOR CIVIL PENALTIES FOR FAILURE TO COMPLY WITH THE PREMERGER REPORTING AND WAITING REQUIREMENTS OF THE HART-SCOTT-RODINO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Len Blavatnik ("Blavatnik"). Plaintiff alleges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Blavatnik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TangoMe, Inc. ("TangoMe") in August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This Court has jurisdiction over the subject matter of this action pursuant to 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and over the Defendant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Blavatnik is a natural person with his principal office and place of business care of Access Industries, 28 Kensington Church Street, 4th Floor, London, United Kingdom W8 4EP. Blavatnik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Blavatnik had sales or assets in excess of $ 151.7 million. Blavatnik is the ultimate parent entity of Access Industries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TangoMe is a corporation organized under the laws of Delaware with its principal place of business at 475 Ellis Street, Mountain View, CA 94043. TangoMe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TangoMe had sales or assets in excess of $ 15.2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LyondellBasell Industries N.V. ("LyondellBasell") is a corporation organized under the laws of The Netherlands with its principal place of business at 1221 McKinney Street, Suite 700, Houston, TX 77010. LyondellBasell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LyondellBasell had sales or assets in excess of $ 12.7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which are adjusted annually. During the period of 2014 pertinent to this complaint, the HSR Act's reporting and waiting period requirements applied to transactions that would result in the acquiring person holding more than $ 75.9 million, if certain sales and asset thresholds were met, and all transactions (regardless of the size of the acquiring or acquired persons) where the acquiring person would hold more than $ 303.4 million of the acquired person's voting securities and/or assets, except for certain exempted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HSR Act's notification and waiting period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determine whether to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rules were promulgated to carry out the purposes of the HSR Act. 16 CFR 801-803 ("HSR Rules"). 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 801.13(a)(1) of the HSR Rules, </w:t>
      </w:r>
      <w:hyperlink r:id="rId16"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Pursuant to sections 801.13(a)(2) and 801.10(c)(1) of the HSR Rules, </w:t>
      </w:r>
      <w:hyperlink r:id="rId16"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801.10(c)(1)</w:t>
        </w:r>
      </w:hyperlink>
      <w:r>
        <w:rPr>
          <w:rFonts w:ascii="arial" w:eastAsia="arial" w:hAnsi="arial" w:cs="arial"/>
          <w:b w:val="0"/>
          <w:i w:val="0"/>
          <w:strike w:val="0"/>
          <w:noProof w:val="0"/>
          <w:color w:val="000000"/>
          <w:position w:val="0"/>
          <w:sz w:val="20"/>
          <w:u w:val="none"/>
          <w:vertAlign w:val="baseline"/>
        </w:rPr>
        <w:t>, the value of publicly traded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civil penalty for each day during which such person is in violation. For violations occurring on or after February 10, 2009, the maximum amount of civil penalty is $ 16,000 per day, pursuant to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DEFENDANT'S PRIOR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On August 23, 2010, Blavatnik acquired 133,400 voting securities of LyondellBasell. At the time of the acquisition, Blavatnik already held voting securities of LyondellBasell. The value of the voting securities held by Blavatnik after the acquisition was approximately $ 634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Although he was required to do so, Blavatnik did not file under the HSR Act prior to acquiring LyondellBasell voting securities on August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Blavatnik continued to acquire LyondellBasell voting securities in August and September of 2010, acquiring a total of 3,270,500 additional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On December 1, 2010, Access, acting on Blavatnik's behalf, made a corrective filing under the HSR Act for the August 23, 2010, acquisition of LyondellBasell voting securities, and the subsequent acquisitions in August and September of 2010. In a letter accompanying the corrective filing, Blavatnik acknowledged that the transaction was reportable under the HSR Act, but asserted that the failure to file and observe the waiting period was inadvertent. Blavatnik also committed that he and Access would consult with HSR counsel before making any </w:t>
      </w:r>
      <w:r>
        <w:rPr>
          <w:rFonts w:ascii="arial" w:eastAsia="arial" w:hAnsi="arial" w:cs="arial"/>
          <w:b/>
          <w:i w:val="0"/>
          <w:strike w:val="0"/>
          <w:noProof w:val="0"/>
          <w:color w:val="000000"/>
          <w:position w:val="0"/>
          <w:sz w:val="20"/>
          <w:u w:val="none"/>
          <w:vertAlign w:val="baseline"/>
        </w:rPr>
        <w:t> [*24882] </w:t>
      </w:r>
      <w:r>
        <w:rPr>
          <w:rFonts w:ascii="arial" w:eastAsia="arial" w:hAnsi="arial" w:cs="arial"/>
          <w:b w:val="0"/>
          <w:i w:val="0"/>
          <w:strike w:val="0"/>
          <w:noProof w:val="0"/>
          <w:color w:val="000000"/>
          <w:position w:val="0"/>
          <w:sz w:val="20"/>
          <w:u w:val="none"/>
          <w:vertAlign w:val="baseline"/>
        </w:rPr>
        <w:t xml:space="preserve"> additional acquisitions of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On January 4, 2011, the Premerger Notification Office of the Federal Trade Commission sent a letter to Access indicating that it would not recommend a civil penalty action regarding the August 23, 2010, LyondellBasell acquisition, but stating that Blavatnik "still must bear responsibility for compliance with the Act. In addition, he is accountable for instituting an effective program to ensure full compliance with the Act's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On August 6, 2014, Blavatnik, through Access, acquired 2,818,182 shares of TangoMe voting securities. Blavatnik's voting securities represented approximately 29.1% of TangoMe's outstanding voting securities and were valued at approximately $ 228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Prior to acquiring the TangoMe voting securities, neither Access nor Blavatnik conducted any HSR review of the proposed acquisition or consulted with HSR counsel, notwithstanding their commitments to do so made in connection with the LyondellBasell corrective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On December 17, 2014, Blavatnik made a corrective filing under the HSR Act for the August 6, 2014, acquisition of TangoMe voting securities. The waiting period on the corrective filing expired on January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Blavatnik was in continuous violation of the HSR Act from August 6, 2014, when it acquired the TangoMe voting securities valued in excess of the HSR Act's $ 75.9 million size-of-transaction threshold, through January 16, 2015, when the waiting period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Wherefore,</w:t>
      </w:r>
      <w:r>
        <w:rPr>
          <w:rFonts w:ascii="arial" w:eastAsia="arial" w:hAnsi="arial" w:cs="arial"/>
          <w:b w:val="0"/>
          <w:i w:val="0"/>
          <w:strike w:val="0"/>
          <w:noProof w:val="0"/>
          <w:color w:val="000000"/>
          <w:position w:val="0"/>
          <w:sz w:val="20"/>
          <w:u w:val="none"/>
          <w:vertAlign w:val="baseline"/>
        </w:rPr>
        <w:t xml:space="preserv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the Court adjudge and decree that Defendant Blavatnik's acquisition of TangoMe voting securities on August 6, 2014,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Blavatnik was in violation of the HSR Act each day from August 6, 2014, through January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That the Court order Defendant Blavatnik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Public Law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That the Court order such other and further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324723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933721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S. Baruch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269266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LEN BLAVATNIK,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04/20/2016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6, 2015, the United States filed a Complaint against Defendant Len Blavatnik ("Blavatnik"), related to Blavatnik's acquisition of voting securities of TangoMe Inc. ("TangoMe") in 2014. The Complaint alleges that Blavatnik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states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n1 The purpose of the notification and waiting period is to allow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Blavatnik, via an entity he controls, acquired voting securities of TangoMe in excess of the statutory threshold ($ 75.9 million at the time of acquisition) without making the required pre-acquisition filings with the agencies and without observing the waiting period, and that Blatvatnik and TangoMe each met the statutory size of person threshold at the time of the acquisition (Blavatnik and TangoMe had sales or assets in excess of $ 151.7 million and $ 15.2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further alleges that Blavatnik previously violated the HSR Act's notification requirements when he acquired shares in LyondellBasell Industries N.V. ("LyondellBasell") in 2010. In August and September of 2010, Blavatnik made several acquisitions of LyondellBasell voting securities without making appropriate HSR filings and observing the required waiting periods. On December 1, 2010, Blavatnik made a corrective filing for these acquisitions. In a letter accompanying the corrective filing, Blavatnik acknowledged that these transactions were reportable under the HSR Act, but asserted that the failure to file and observe the waiting period was inadvertent. Blavatnik also committed that he would consult with HSR counsel before making any additional acquisitions of voting securities. On January 4, 2011, the Premerger Notification Office of the Federal Trade Commission sent a letter to Blavatnik indicating that it would not recommend a civil penalty action regarding the 2010 LyondellBasell acquisition, but stated that Blavatnik would be "accountable for instituting an effective program to ensure full compliance with the [HSR] Act's requirements."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Complaint, [paragraph]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Stipulation and proposed Final Judgment that eliminates the need for a trial in this case. The proposed Final </w:t>
      </w:r>
      <w:r>
        <w:rPr>
          <w:rFonts w:ascii="arial" w:eastAsia="arial" w:hAnsi="arial" w:cs="arial"/>
          <w:b/>
          <w:i w:val="0"/>
          <w:strike w:val="0"/>
          <w:noProof w:val="0"/>
          <w:color w:val="000000"/>
          <w:position w:val="0"/>
          <w:sz w:val="20"/>
          <w:u w:val="none"/>
          <w:vertAlign w:val="baseline"/>
        </w:rPr>
        <w:t> [*24883] </w:t>
      </w:r>
      <w:r>
        <w:rPr>
          <w:rFonts w:ascii="arial" w:eastAsia="arial" w:hAnsi="arial" w:cs="arial"/>
          <w:b w:val="0"/>
          <w:i w:val="0"/>
          <w:strike w:val="0"/>
          <w:noProof w:val="0"/>
          <w:color w:val="000000"/>
          <w:position w:val="0"/>
          <w:sz w:val="20"/>
          <w:u w:val="none"/>
          <w:vertAlign w:val="baseline"/>
        </w:rPr>
        <w:t xml:space="preserve"> Judgment is designed to deter Blavatnik's HSR Act violations. Under the proposed Final Judgment, Blavatnik must pay a civil penalty in the amount of $ 656,000.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 have stipulated that the proposed Final Judgment may be entered after compliance with the APPA, unless the United States first withdraws its consent. Entry of the proposed Final Judgment would terminate this case, except that the Court would retain jurisdiction to construe, modify, or enforce the provisions of the proposed Final Judgment and punish violations thereof. Entry of this judgment would not constitute evidence against, or an admission by, any party with respect to any issue of fact or law involved in the case and is conditioned upon the Court's finding that entry is in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Len Blavatnik and the Acquisitions of TangoMe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 Blavatnik is a British businessman, investor, and philanthropist. In 1986, Blavatnik founded Access Industries ("Access"), a private international conglomerate company located in New York. Access, in turn, controls multiple entities engaged in three primary industries: natural resources and chemicals; media and telecommunications; and real estate.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TangoMe is a California based technology start-up known largely for its smartphone application </w:t>
      </w:r>
      <w:r>
        <w:rPr>
          <w:rFonts w:ascii="arial" w:eastAsia="arial" w:hAnsi="arial" w:cs="arial"/>
          <w:b w:val="0"/>
          <w:i/>
          <w:strike w:val="0"/>
          <w:noProof w:val="0"/>
          <w:color w:val="000000"/>
          <w:position w:val="0"/>
          <w:sz w:val="20"/>
          <w:u w:val="none"/>
          <w:vertAlign w:val="baseline"/>
        </w:rPr>
        <w:t>Tango.</w:t>
      </w:r>
      <w:r>
        <w:rPr>
          <w:rFonts w:ascii="arial" w:eastAsia="arial" w:hAnsi="arial" w:cs="arial"/>
          <w:b w:val="0"/>
          <w:i w:val="0"/>
          <w:strike w:val="0"/>
          <w:noProof w:val="0"/>
          <w:color w:val="000000"/>
          <w:position w:val="0"/>
          <w:sz w:val="20"/>
          <w:u w:val="none"/>
          <w:vertAlign w:val="baseline"/>
        </w:rPr>
        <w:t xml:space="preserve"> With approximately 200 million registered users, </w:t>
      </w:r>
      <w:r>
        <w:rPr>
          <w:rFonts w:ascii="arial" w:eastAsia="arial" w:hAnsi="arial" w:cs="arial"/>
          <w:b w:val="0"/>
          <w:i/>
          <w:strike w:val="0"/>
          <w:noProof w:val="0"/>
          <w:color w:val="000000"/>
          <w:position w:val="0"/>
          <w:sz w:val="20"/>
          <w:u w:val="none"/>
          <w:vertAlign w:val="baseline"/>
        </w:rPr>
        <w:t>Tango</w:t>
      </w:r>
      <w:r>
        <w:rPr>
          <w:rFonts w:ascii="arial" w:eastAsia="arial" w:hAnsi="arial" w:cs="arial"/>
          <w:b w:val="0"/>
          <w:i w:val="0"/>
          <w:strike w:val="0"/>
          <w:noProof w:val="0"/>
          <w:color w:val="000000"/>
          <w:position w:val="0"/>
          <w:sz w:val="20"/>
          <w:u w:val="none"/>
          <w:vertAlign w:val="baseline"/>
        </w:rPr>
        <w:t xml:space="preserve"> is a messaging app offering free video calls, texting, and photo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6, 2014, Blavatnik, through Access, acquired shares of TangoMe voting securities. Blavatnik's voting securities represented approximately 29.1% of TangoMe's outstanding voting securities and were valued at approximately $ 228 million. This exceeded the HSR Act's $ 75.9 million size-of-transaction threshold then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acquiring the TangoMe voting securities, neither Access nor Blavatnik conducted any HSR review of the proposed acquisition or consulted with HSR counsel, notwithstanding Blavatnik's commitments made in connection with the 2010 LyondellBasell corrective filing. Blavatnik became aware of the missed HSR filing when Access conducted a periodic review of the company-wide holdings of TangoMe. After discovering the missed filing, Blavatnik promptly made a corrective filing on December 17, 2014. The waiting period expired on January 16,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Blavatnik's Violation of HSR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Blavatnik acquired in excess of the $ 75.9 million in voting securities of TangoMe without complying with the pre-acquisition notification and waiting period requirements of the HSR Act. Blavatnik's failure to comply undermined the statutory scheme and the purpose of the HSR Act. Blavatnik's December 17, 2014, corrective filing included a letter acknowledging that the acquisitions were reportable under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$ 656,000 civil penalty designed to deter this Defendant and others from violating the HSR Act. The United States adjusted the penalty downward from the maximum because the violation was unintentional, the Defendant promptly self-reported the violation after discovery, and the Defendant is willing to resolve the matter by consent decree and avoid prolonged investigation and litigation. The penalty also reflects Defendant's previous violation of the HSR Act after pledging to consult counsel in order to prevent such violations. The United States expects this penalty to deter Blavatnik and others from violating the HSR Act.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agencies will be properly notified of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 have stipulated that the proposed Final Judgment may be entered by this Court after compliance with the provision of the APPA, provided that the United States has not withdrawn its consent. The APPA conditions entry of the decree upon this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CC-8416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1" w:history="1">
        <w:r>
          <w:rPr>
            <w:rFonts w:ascii="arial" w:eastAsia="arial" w:hAnsi="arial" w:cs="arial"/>
            <w:b w:val="0"/>
            <w:i/>
            <w:strike w:val="0"/>
            <w:noProof w:val="0"/>
            <w:color w:val="0077CC"/>
            <w:position w:val="0"/>
            <w:sz w:val="20"/>
            <w:u w:val="single"/>
            <w:vertAlign w:val="baseline"/>
          </w:rPr>
          <w:t>dducore@ftc.gov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self-reporting of the violation and willingness to settle quickly, the United States is satisfied that the proposed civil penalty is sufficient to address the violation alleged in the Complaint and to deter violations by similarly situated entities in the future, without the time, expense, and uncertainty of a full trial on the merits. </w:t>
      </w:r>
      <w:r>
        <w:rPr>
          <w:rFonts w:ascii="arial" w:eastAsia="arial" w:hAnsi="arial" w:cs="arial"/>
          <w:b/>
          <w:i w:val="0"/>
          <w:strike w:val="0"/>
          <w:noProof w:val="0"/>
          <w:color w:val="000000"/>
          <w:position w:val="0"/>
          <w:sz w:val="20"/>
          <w:u w:val="none"/>
          <w:vertAlign w:val="baseline"/>
        </w:rPr>
        <w:t> [*24884]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remedies contained in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1"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3"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4"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5"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6"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n4 In determining whether a proposed settlement is in the public interest, a district court "must accord deference to the government's predictions about the efficacy of its remedies, and may not require that the remedies perfectly match the alleged violations."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8"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Cf. </w:t>
      </w:r>
      <w:hyperlink r:id="rId25"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9"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0"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1"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1"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4"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w:t>
      </w:r>
      <w:r>
        <w:rPr>
          <w:rFonts w:ascii="arial" w:eastAsia="arial" w:hAnsi="arial" w:cs="arial"/>
          <w:b/>
          <w:i w:val="0"/>
          <w:strike w:val="0"/>
          <w:noProof w:val="0"/>
          <w:color w:val="000000"/>
          <w:position w:val="0"/>
          <w:sz w:val="20"/>
          <w:u w:val="none"/>
          <w:vertAlign w:val="baseline"/>
        </w:rPr>
        <w:t> [*24885] </w:t>
      </w:r>
      <w:r>
        <w:rPr>
          <w:rFonts w:ascii="arial" w:eastAsia="arial" w:hAnsi="arial" w:cs="arial"/>
          <w:b w:val="0"/>
          <w:i w:val="0"/>
          <w:strike w:val="0"/>
          <w:noProof w:val="0"/>
          <w:color w:val="000000"/>
          <w:position w:val="0"/>
          <w:sz w:val="20"/>
          <w:u w:val="none"/>
          <w:vertAlign w:val="baseline"/>
        </w:rPr>
        <w:t xml:space="preserve"> complaint" to inquire into other matters that the United States did not pursue. </w:t>
      </w:r>
      <w:hyperlink r:id="rId21"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2"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n5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3"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2"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April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c/o Department of Justice Washington, D.C. 20530, Plaintiff, v. LEN BLAVATNIK c/o Access Industries, 28 Kensington Church Street, 4th Floor, London, United Kingdom W8 4EP,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10/06/2015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Len Blavatnik,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the taking of any testimony and without trial or adjudication of any issue of fact or law herein, and upon the consent of the parties hereto, it is hereby Ordered, Adjudged, and Decreed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Federal Trade Commission Rule 1.98, </w:t>
      </w:r>
      <w:hyperlink r:id="rId19"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61 FR 54549</w:t>
        </w:r>
      </w:hyperlink>
      <w:r>
        <w:rPr>
          <w:rFonts w:ascii="arial" w:eastAsia="arial" w:hAnsi="arial" w:cs="arial"/>
          <w:b w:val="0"/>
          <w:i w:val="0"/>
          <w:strike w:val="0"/>
          <w:noProof w:val="0"/>
          <w:color w:val="000000"/>
          <w:position w:val="0"/>
          <w:sz w:val="20"/>
          <w:u w:val="none"/>
          <w:vertAlign w:val="baseline"/>
        </w:rPr>
        <w:t xml:space="preserve"> (Oct. 21, 1996), and </w:t>
      </w:r>
      <w:hyperlink r:id="rId20"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Defendant Len Blavatnik is hereby ordered to pay a civil penalty in the amount of six hundred fifty six thousand dollars ($ 656,000).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Janie Ingalls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 Suite 1024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2016-09782 Filed 4-26-16;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24880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B-00000-00&amp;context=" TargetMode="External" /><Relationship Id="rId17" Type="http://schemas.openxmlformats.org/officeDocument/2006/relationships/hyperlink" Target="https://advance.lexis.com/api/document?collection=administrative-codes&amp;id=urn:contentItem:5HYR-92S0-008G-Y27Y-00000-00&amp;context=" TargetMode="External" /><Relationship Id="rId18" Type="http://schemas.openxmlformats.org/officeDocument/2006/relationships/hyperlink" Target="https://advance.lexis.com/api/document?collection=statutes-legislation&amp;id=urn:contentItem:4YF7-GP01-NRF4-44H2-00000-00&amp;context=" TargetMode="External" /><Relationship Id="rId19" Type="http://schemas.openxmlformats.org/officeDocument/2006/relationships/hyperlink" Target="https://advance.lexis.com/api/document?collection=administrative-codes&amp;id=urn:contentItem:5RHV-NCN0-008G-Y05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VBD-9H80-006W-810N-00000-00&amp;context=" TargetMode="External" /><Relationship Id="rId21" Type="http://schemas.openxmlformats.org/officeDocument/2006/relationships/hyperlink" Target="https://advance.lexis.com/api/document?collection=cases&amp;id=urn:contentItem:3RTP-83N0-001T-D0C7-00000-00&amp;context=" TargetMode="External" /><Relationship Id="rId22" Type="http://schemas.openxmlformats.org/officeDocument/2006/relationships/hyperlink" Target="https://advance.lexis.com/api/document?collection=cases&amp;id=urn:contentItem:4NCK-65B0-TVT3-D3DR-00000-00&amp;context=" TargetMode="External" /><Relationship Id="rId23" Type="http://schemas.openxmlformats.org/officeDocument/2006/relationships/hyperlink" Target="https://advance.lexis.com/api/document?collection=cases&amp;id=urn:contentItem:5C2F-7GX1-F04C-Y0FY-00000-00&amp;context=" TargetMode="External" /><Relationship Id="rId24" Type="http://schemas.openxmlformats.org/officeDocument/2006/relationships/hyperlink" Target="https://advance.lexis.com/api/document?collection=cases&amp;id=urn:contentItem:4X85-40M0-TXFP-H385-00000-00&amp;context=" TargetMode="External" /><Relationship Id="rId25" Type="http://schemas.openxmlformats.org/officeDocument/2006/relationships/hyperlink" Target="https://advance.lexis.com/api/document?collection=cases&amp;id=urn:contentItem:3S4W-Y8S0-001B-K1MJ-00000-00&amp;context=" TargetMode="External" /><Relationship Id="rId26" Type="http://schemas.openxmlformats.org/officeDocument/2006/relationships/hyperlink" Target="https://advance.lexis.com/api/document?collection=cases&amp;id=urn:contentItem:3S4X-16H0-0039-W1PJ-00000-00&amp;context=" TargetMode="External" /><Relationship Id="rId27" Type="http://schemas.openxmlformats.org/officeDocument/2006/relationships/hyperlink" Target="https://advance.lexis.com/api/document?collection=cases&amp;id=urn:contentItem:44N5-9DK0-0038-Y4CW-00000-00&amp;context=" TargetMode="External" /><Relationship Id="rId28" Type="http://schemas.openxmlformats.org/officeDocument/2006/relationships/hyperlink" Target="https://advance.lexis.com/api/document?collection=cases&amp;id=urn:contentItem:494T-VD60-0038-Y0P1-00000-00&amp;context=" TargetMode="External" /><Relationship Id="rId29" Type="http://schemas.openxmlformats.org/officeDocument/2006/relationships/hyperlink" Target="https://advance.lexis.com/api/document?collection=cases&amp;id=urn:contentItem:3S4V-KH30-0054-628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53H0-003B-S0M5-00000-00&amp;context=" TargetMode="External" /><Relationship Id="rId31" Type="http://schemas.openxmlformats.org/officeDocument/2006/relationships/hyperlink" Target="https://advance.lexis.com/api/document?collection=cases&amp;id=urn:contentItem:40T2-X8J0-0038-Y2SJ-00000-00&amp;context=" TargetMode="External" /><Relationship Id="rId32" Type="http://schemas.openxmlformats.org/officeDocument/2006/relationships/hyperlink" Target="https://advance.lexis.com/api/document?collection=cases&amp;id=urn:contentItem:3S4N-V3J0-0054-72HT-00000-00&amp;context=" TargetMode="External" /><Relationship Id="rId33" Type="http://schemas.openxmlformats.org/officeDocument/2006/relationships/hyperlink" Target="https://advance.lexis.com/api/document?collection=administrative-codes&amp;id=urn:contentItem:3SHB-Y7B0-006W-91X8-00000-00&amp;context="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P-KVV0-006W-853T-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18112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