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26846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086, Wednesday, May 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26846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May 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Amend Nasdaq Rule 7023</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34-77736; File No. SR-NASDAQ-2016-058]</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April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April 18, 2016, The NASDAQ Stock Market LLC ("Nasdaq" or the "Exchange") filed with the Securities and Exchange Commission ("SEC" or "Commission") a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is proposing to amend Nasdaq Rule 7023 (NASDAQ Depth-of-Book Data) to remove free top-of-file ("Top-of-File") data from Nasdaq OpenView.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w:t>
      </w:r>
      <w:r>
        <w:rPr>
          <w:rFonts w:ascii="arial" w:eastAsia="arial" w:hAnsi="arial" w:cs="arial"/>
          <w:b w:val="0"/>
          <w:i/>
          <w:strike w:val="0"/>
          <w:noProof w:val="0"/>
          <w:color w:val="000000"/>
          <w:position w:val="0"/>
          <w:sz w:val="20"/>
          <w:u w:val="none"/>
          <w:vertAlign w:val="baseline"/>
        </w:rPr>
        <w:t>nasdaq.cchwallstreet.com,</w:t>
      </w:r>
      <w:r>
        <w:rPr>
          <w:rFonts w:ascii="arial" w:eastAsia="arial" w:hAnsi="arial" w:cs="arial"/>
          <w:b w:val="0"/>
          <w:i w:val="0"/>
          <w:strike w:val="0"/>
          <w:noProof w:val="0"/>
          <w:color w:val="000000"/>
          <w:position w:val="0"/>
          <w:sz w:val="20"/>
          <w:u w:val="none"/>
          <w:vertAlign w:val="baseline"/>
        </w:rPr>
        <w:t xml:space="preserve"> at Nasdaq's principal office,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Nasdaq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Nasdaq Rule 7023 (NASDAQ Depth-of-Book Data). Currently, Nasdaq does not charge a fee for use of Nasdaq OpenView Top-of-File data that is created using Nasdaq OpenView. Top-of-File data consists of Nasdaq's aggregate best bid and offer quotation for each security listed on an exchange other than Nasdaq. Vendors can create Top-of-File data from Nasdaq OpenView and offer it to both professionals and non-professionals either for display or non-display.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keep Top-of-File data as part of Nasdaq OpenView, but to no longer provide for free the use of this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subscriber of Nasdaq OpenView may no longer create a Top-of-File data product and provide it for free to other market participants). All market participants that opt to receive Nasdaq OpenView and create a Top-of-File data product from it will be liable for the Nasdaq OpenView fee rate applicable to Non-Professional Subscribers n3 or Professional Subscribers, n4 as appropriate. The monthly fee is </w:t>
      </w:r>
      <w:r>
        <w:rPr>
          <w:rFonts w:ascii="arial" w:eastAsia="arial" w:hAnsi="arial" w:cs="arial"/>
          <w:b/>
          <w:i w:val="0"/>
          <w:strike w:val="0"/>
          <w:noProof w:val="0"/>
          <w:color w:val="000000"/>
          <w:position w:val="0"/>
          <w:sz w:val="20"/>
          <w:u w:val="none"/>
          <w:vertAlign w:val="baseline"/>
        </w:rPr>
        <w:t> [*26847] </w:t>
      </w:r>
      <w:r>
        <w:rPr>
          <w:rFonts w:ascii="arial" w:eastAsia="arial" w:hAnsi="arial" w:cs="arial"/>
          <w:b w:val="0"/>
          <w:i w:val="0"/>
          <w:strike w:val="0"/>
          <w:noProof w:val="0"/>
          <w:color w:val="000000"/>
          <w:position w:val="0"/>
          <w:sz w:val="20"/>
          <w:u w:val="none"/>
          <w:vertAlign w:val="baseline"/>
        </w:rPr>
        <w:t xml:space="preserve"> currently $ 1 for Non-Professional Subscribers n5 while the monthly fee for Professional Subscribers is currently $ 6 each for any display usage, or for non-display usage based upon indirect access. n6 Market participants cannot be charged for both Top-of-File data and OpenView.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7023(a)(3)(A). This rule defines a Non-Professional Subscriber as a natural person who is not: (1) Registered or qualified in any capacity with the Commission, the Commodity Futures Trading Commission, any state securities agency, any securities exchange or association, or any commodities or futures contract market or association; (2) engaged as an "investment adviser" as that term is defined in Section 201(11) of the Investment Advisers Act of 1940 (whether or not registered or qualified under that Act); or (3) employed by a bank or other organization exempt from registration under federal or state securities laws to perform functions that would require registration or qualification if such functions were performed for an organization not so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7023(a)(3)(B). This rule defines a Professional Subscriber as any subscriber other than a "Non-Professional Subscriber," as that term is defined in Nasdaq Rule 7023(a)(3)(A).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7023(b)(3)(A).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7023(b)(3)(B).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no firms currently are utilizing Nasdaq OpenView Top-of-File data, there will be no immediate impact on any subscribers due to the proposed rule change. However, the proposed rule change makes clear going forward that any subscribers creating this data will not be able to use it for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effectuate this proposed rule change, the Exchange will eliminate Nasdaq Rule 7023(b)(3)(C) and renumber Nasdaq Rule 7023(b)(3)(D) as Nasdaq Rule 7023(b)(3)(C).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n7 in general, and furthers the objectives of Sections 6(b)(4) and 6(b)(5) of the Act, n8 in particular, in that it provides for the equitable allocation of reasonable dues, fees and other charges among members and issuers and other persons using its facilities which the Exchange operates or controls,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0"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0"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courts have repeatedly expressed their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regulatory intervention in determining prices, products, and services in the securities markets.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while adopting a series of steps to improve the current market model, the Commission highlighted the importance of market forces in determining prices and SRO revenues and, also, recognized that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market system "has been remarkably successful in promoting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broader forms that are most important to investors and listed companies."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Securities Exchange Act Release No. 34-51808 (June 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n10 ("NetCoalition") the D.C. Circuit upheld the Commission's use of a market-based approach in evaluating the fairness of market data fees against a challenge claiming that Congress mandated a cost-based approach. n11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1"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1" w:history="1">
        <w:r>
          <w:rPr>
            <w:rFonts w:ascii="arial" w:eastAsia="arial" w:hAnsi="arial" w:cs="arial"/>
            <w:b w:val="0"/>
            <w:i/>
            <w:strike w:val="0"/>
            <w:noProof w:val="0"/>
            <w:color w:val="0077CC"/>
            <w:position w:val="0"/>
            <w:sz w:val="20"/>
            <w:u w:val="single"/>
            <w:vertAlign w:val="baseline"/>
          </w:rPr>
          <w:t>Id. at 534-535.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1" w:history="1">
        <w:r>
          <w:rPr>
            <w:rFonts w:ascii="arial" w:eastAsia="arial" w:hAnsi="arial" w:cs="arial"/>
            <w:b w:val="0"/>
            <w:i/>
            <w:strike w:val="0"/>
            <w:noProof w:val="0"/>
            <w:color w:val="0077CC"/>
            <w:position w:val="0"/>
            <w:sz w:val="20"/>
            <w:u w:val="single"/>
            <w:vertAlign w:val="baseline"/>
          </w:rPr>
          <w:t>Id. at 537.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1"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ArcaBook Order, 73 FR at 74782-74783).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Vendors can create Top-of-File data from Nasdaq OpenView and offer it to both professionals and non-professionals either for display or non-display. The Exchange believes that the proposed rule change to charge all market participants that opt to receive Nasdaq OpenView and create a Top-of-File data product the Nasdaq OpenView fee rate applicable to Non-Professional Subscribers or Professional Subscribers, as appropriate, is reasonable because the Exchange is entitled to receive a fee from each subscriber that receives such data to help offset costs associated with providing Nasdaq OpenView data to subscribers. Also, the proposed rule change is reasonable because a market participant must use Nasdaq OpenView data in order to create a Top-of-File data product and since Nasdaq OpenView is fee liable, the same should be true of the resulting Top-of-File data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believes that the proposed rule change is an equitable allocation of fees and is not unfairly discriminatory because market participants cannot be charged for both Top-of-File data and OpenView and the proposed rule change applies uniformly to all market participants since it treats all similarly situated market participants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renumbering of Nasdaq Rule 7023(b)(3)(D) as Nasdaq Rule 7023(b)(3)(C) is reasonable because it is a technical and clarifying change that is intended to maintain the coherency and consistency within the Nasdaq rule book.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Notwithstanding its determination that the Commission may rely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establish fair and equitably allocated fees for market data,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court found that the Commission had not, in that case, compiled a record that adequately supported its conclusion that the market for the data at issue in the case was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Nasdaq believes that a record may readily be established to demonstrate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platforms that provide transaction execution and routing services and proprietary data products. Transaction execution and proprietary data products are complementary in that market data is both an input and a byproduct of the execution service. In fact, market data and trade execution are a paradigmatic example of joint products with joint costs. Data products are valuable to many end Subscribers only insofar as they provide information that end Subscribers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an exchange's customers view the costs of transaction executions and of data as a unified cost of doing business with the exchange. A broker-dealer ("BD") will direct orders to a particular exchange only if the expected revenues from executing trades on the exchange exceed net transaction execution costs and the cost of data that the BD chooses to buy to support its trading decisions (or those of its customers). The choice of data products is, in turn, a product of the value of the products in making profitable trading decisions. If the cost of the product exceeds its expected value, the BD will choose not to buy it. Moreover, as a BD chooses to direct fewer orders to a particular exchange, the value of the product to that BD decreases, for two </w:t>
      </w:r>
      <w:r>
        <w:rPr>
          <w:rFonts w:ascii="arial" w:eastAsia="arial" w:hAnsi="arial" w:cs="arial"/>
          <w:b/>
          <w:i w:val="0"/>
          <w:strike w:val="0"/>
          <w:noProof w:val="0"/>
          <w:color w:val="000000"/>
          <w:position w:val="0"/>
          <w:sz w:val="20"/>
          <w:u w:val="none"/>
          <w:vertAlign w:val="baseline"/>
        </w:rPr>
        <w:t> [*26848] </w:t>
      </w:r>
      <w:r>
        <w:rPr>
          <w:rFonts w:ascii="arial" w:eastAsia="arial" w:hAnsi="arial" w:cs="arial"/>
          <w:b w:val="0"/>
          <w:i w:val="0"/>
          <w:strike w:val="0"/>
          <w:noProof w:val="0"/>
          <w:color w:val="000000"/>
          <w:position w:val="0"/>
          <w:sz w:val="20"/>
          <w:u w:val="none"/>
          <w:vertAlign w:val="baseline"/>
        </w:rPr>
        <w:t xml:space="preserve"> reasons. First, the product will contain less information, because executions of the BD's orders will not be reflected in it. Second, and perhaps more important, the product will be less valuable to that BD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to which the BD is directing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an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n14 However,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Similarly,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distribution in isolation from the cost of all of the inputs supporting the creation of market data will inevitably underestimate the cost of the data. Thus, because it is impossible to create data without a fast, technologically robust, and well-regulated execution system, system costs and regulatory costs affect the price of market data. It would be equally misleading, however, to attribute all of the exchange's costs to the market data portion of an exchange's joint product. Rather,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Nasdaq pays rebates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ATS or BD can combine with any other ATS, BD, or multiple ATSs or BDs to produce joint proprietary data products. Additionally, order routers and market data vendors can facilitate single or multiple BDs' production of proprietary data products. The potential sources of proprietary products are virtually limitless. Notably, the potential sources of data include the BDs that submit trade reports to TRFs and that have the ability to consolidate and distribute their data without the involvement of FINRA or an exchange-operated TRF.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BDs,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as BATS and NYSE Arca did before registering as exchanges by publishing proprietary book data on the internet. Second, because a single order or transaction report can appear in a core data product, an SRO proprietary product, and/or a non-SRO proprietary product, the data available in proprietary products is exponentially greater than the actual number of orders and transaction reports that exist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increased the contestability of that market. While BDs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Multiple market data vendors already have the capability to aggregate data and disseminate it on a profitable scale, including Bloomberg and Thomson Reuters. In Europe, Cinnober aggregates and disseminates data from </w:t>
      </w:r>
      <w:r>
        <w:rPr>
          <w:rFonts w:ascii="arial" w:eastAsia="arial" w:hAnsi="arial" w:cs="arial"/>
          <w:b/>
          <w:i w:val="0"/>
          <w:strike w:val="0"/>
          <w:noProof w:val="0"/>
          <w:color w:val="000000"/>
          <w:position w:val="0"/>
          <w:sz w:val="20"/>
          <w:u w:val="none"/>
          <w:vertAlign w:val="baseline"/>
        </w:rPr>
        <w:t> [*26849] </w:t>
      </w:r>
      <w:r>
        <w:rPr>
          <w:rFonts w:ascii="arial" w:eastAsia="arial" w:hAnsi="arial" w:cs="arial"/>
          <w:b w:val="0"/>
          <w:i w:val="0"/>
          <w:strike w:val="0"/>
          <w:noProof w:val="0"/>
          <w:color w:val="000000"/>
          <w:position w:val="0"/>
          <w:sz w:val="20"/>
          <w:u w:val="none"/>
          <w:vertAlign w:val="baseline"/>
        </w:rPr>
        <w:t xml:space="preserve"> over 40 brokers and multilateral trading facilities.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http://www.cinnober.com/boat-trade-reporting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TRFs, the rapid entry of several exchanges into this space in 2006-2007 following the development and Commission approval of the TRF structure demonstrates the contestability of this aspect of the market. n16 Given the demand for trade reporting services that is itself a by-product of the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transaction executions--characterized notably by a proliferation of ATSs and BDs offering internalization--any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associated with trade reporting or TRF data would shift trade report volumes from one of the existing TRFs to the other n17 and create incentives for other TRF operators to enter the space. Alternatively, because BDs reporting to TRFs are themselves free to consolidate the market data that they report, the market for over-the-counter data itself, separate and apart from the markets for execution and trade reporting services--is fully contestable.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The low cost exit of two TRFs from the market is also evidence of a contestable market, because new entrants are reluctant to enter a market where exit may involve substantial shut-down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It should be noted that the FINRA/NYSE TRF has, in recent weeks, received reports for almost 10% of all over-the-counter volume in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consolidated data provides two additional measures of pricing discipline for proprietary data products that are a subset of the consolidated data stream. First, the consolidated data is widely available in real-time at $ 1 per month for non-professional users. Second, consolidated data is also available at no cost with a 15- or 20- minute delay. Because consolidated data contains marketwide information, it effectively places a cap on the fees assessed for proprietary data (such as last sale data) that is simply a subset of the consolidated data. The mere availability of low-cost or free consolidated data provides a powerful form of pricing discipline for proprietary data products that contain data elements that are a subset of the consolidated data, by highlighting the optional nature of proprietary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instance, the proposed rule change to charge all market participants that create a Top-of-File product using Nasdaq OpenView data the fee rate applicable to Non-Professional Subscribers or Professional Subscribers, as appropriate, by eliminating current rule text in Nasdaq Rule 7023(b)(3)(C), does not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no firms currently are utilizing this data so there will be no immediate impact on any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if the rule change proposed herein is unattractive to market participants, it is likely that the Exchange will lose market share as a result. Accordingly, the Exchange does not believe that the proposed change will impair the ability of members 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order execution venues to maintain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standing in the financial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were neither solicited nor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change has become effective pursuant to Section 19(b)(3)(A)(ii) of the Act. n18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4"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SR-NASDAQ-2016-058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SR-NASDAQ-2016-058. This file number should be included on the subject line if email is used. To help the Commission process and review your comments more efficiently, please use only one method. The Commission will post all comments on the Commission's Internet Web site (</w:t>
      </w:r>
      <w:hyperlink r:id="rId1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SR-NASDAQ-2016-058, and should be submitted on or before May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5"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2016-10370 Filed 5-3-16;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26846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C1-NRF4-4309-00000-00&amp;context=" TargetMode="External" /><Relationship Id="rId11" Type="http://schemas.openxmlformats.org/officeDocument/2006/relationships/hyperlink" Target="https://advance.lexis.com/api/document?collection=cases&amp;id=urn:contentItem:803V-DT30-YB0V-T01B-00000-00&amp;context=" TargetMode="External" /><Relationship Id="rId12" Type="http://schemas.openxmlformats.org/officeDocument/2006/relationships/hyperlink" Target="http://www.cinnober.com/boat-trade-reporting" TargetMode="External" /><Relationship Id="rId13" Type="http://schemas.openxmlformats.org/officeDocument/2006/relationships/hyperlink" Target="http://www.sec.gov/rules/sro.shtml" TargetMode="External" /><Relationship Id="rId14" Type="http://schemas.openxmlformats.org/officeDocument/2006/relationships/hyperlink" Target="mailto:rule-comments@sec.gov" TargetMode="External" /><Relationship Id="rId15" Type="http://schemas.openxmlformats.org/officeDocument/2006/relationships/hyperlink" Target="https://advance.lexis.com/api/document?collection=administrative-codes&amp;id=urn:contentItem:5SPP-2120-008G-Y2ND-00000-00&amp;context=" TargetMode="Externa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P6-0GF0-006W-80NH-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47446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