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28837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090, Tuesday, May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28837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Charter Schools Program (CSP)--Grants for Replication and Expansion of High-Quality Charter Schools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Overview Information: CSP--Grants for Replication and Expansion of High-Quality Charter Schools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84.282M.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December 10, 2015, the President signed into law the Every Student Succeeds </w:t>
      </w:r>
      <w:r>
        <w:rPr>
          <w:rFonts w:ascii="arial" w:eastAsia="arial" w:hAnsi="arial" w:cs="arial"/>
          <w:b/>
          <w:i w:val="0"/>
          <w:strike w:val="0"/>
          <w:noProof w:val="0"/>
          <w:color w:val="000000"/>
          <w:position w:val="0"/>
          <w:sz w:val="20"/>
          <w:u w:val="none"/>
          <w:vertAlign w:val="baseline"/>
        </w:rPr>
        <w:t> [*28838] </w:t>
      </w:r>
      <w:r>
        <w:rPr>
          <w:rFonts w:ascii="arial" w:eastAsia="arial" w:hAnsi="arial" w:cs="arial"/>
          <w:b w:val="0"/>
          <w:i w:val="0"/>
          <w:strike w:val="0"/>
          <w:noProof w:val="0"/>
          <w:color w:val="000000"/>
          <w:position w:val="0"/>
          <w:sz w:val="20"/>
          <w:u w:val="none"/>
          <w:vertAlign w:val="baseline"/>
        </w:rPr>
        <w:t xml:space="preserve"> Act (ESSA), </w:t>
      </w:r>
      <w:r>
        <w:rPr>
          <w:rFonts w:ascii="arial" w:eastAsia="arial" w:hAnsi="arial" w:cs="arial"/>
          <w:b w:val="0"/>
          <w:i/>
          <w:strike w:val="0"/>
          <w:noProof w:val="0"/>
          <w:color w:val="000000"/>
          <w:position w:val="0"/>
          <w:sz w:val="20"/>
          <w:u w:val="none"/>
          <w:vertAlign w:val="baseline"/>
        </w:rPr>
        <w:t>Public Law 114-95</w:t>
      </w:r>
      <w:r>
        <w:rPr>
          <w:rFonts w:ascii="arial" w:eastAsia="arial" w:hAnsi="arial" w:cs="arial"/>
          <w:b w:val="0"/>
          <w:i w:val="0"/>
          <w:strike w:val="0"/>
          <w:noProof w:val="0"/>
          <w:color w:val="000000"/>
          <w:position w:val="0"/>
          <w:sz w:val="20"/>
          <w:u w:val="none"/>
          <w:vertAlign w:val="baseline"/>
        </w:rPr>
        <w:t>, which reauthorized the Elementary and Secondary Education Act of 1965 (ESEA), as amended by the No Child Left Behind Act of 2001 (NCLB). Under section 5(c) of ESSA, CSP grants awarded in FY 2016 and earlier years will operate in accordance with the requirements of the ESEA, as amended by NCLB, and any continuation awards applicable to these grants also will operate in accordance with such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uses the same absolute priorities,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selection criteria as in FY 2015, because we believe these facilitated a large number of high-quality applications and a diverse pool of applicants. In developing their applications, applicants should review the application package available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for additional information concerning the priorities, application requirements, and selection criteria of this notice, as well as more detailed information on the submission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FY 2015 Replication and Expansion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notice includes two absolute priorities for applicants with Experience Operating or Managing High-Quality Charter Schools, and for applicants serving a Low-Income Demographic. The first absolute priority requires applicants to operate or manage more than one high-quality charter school (as defined in this notice), and the second requires applicants to demonstrate that at least 60 percent of the students in the charter schools it operates or manages are from low-income families. Applicants should review the application package for additional information concerning the absolute priorities. Both absolute priorities are from the final priorities, requirements,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12, 2011 </w:t>
      </w:r>
      <w:hyperlink r:id="rId9"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(Final Priorities), and are intended to ensure that projects are designed to meet the needs of educationally disadvantaged and other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2016 Replication and Expansion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the same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as the FY 2015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Applicants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may select and address only one of three parts of the priority. Part (a)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for projects designed to support students who are members of federally recognized Indian tribes and is from the Secretary's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Part (b)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for projects designed to replicate (as defined in this notice) and expand high-quality charter schools in order to support school improvement efforts by local educational agencies (LEAs) and is from the Final Priorities for this program. Part (c)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for projects designed to replicate (as defined in this notice) and expand high-quality charter schools (as defined in this notice) in federally designated Promise Zones, and is from the notice of final priority for Promise Zones,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1"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(Promise Zones Priority). The thirteen Promise Zones that have been designated thus far are located in Camden City, New Jersey; the Chocktaw Nation of Oklahoma; East Indianapolis, Indiana; Los Angeles, California; the Lowlands of South Carolina; Minneapolis, Minnesota; North Hartford, Connecticut; Philadelphia, Pennsylvania; Pine Ridge, South Dakota; Sacramento, California; San Antonio, Texas; Southeastern Kentucky; and St. Louis, Missouri. Another Promise Zones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currently underway and new designees are expected to be announced in the spring of 2016. If new designees are announced prior to the deadline for transmittal of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applicants may meet this priority by submitting the requisite HUD form 50153, signed by an authorized representative of the lead organization of the newly designated Promise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w:t>
      </w:r>
      <w:r>
        <w:rPr>
          <w:rFonts w:ascii="arial" w:eastAsia="arial" w:hAnsi="arial" w:cs="arial"/>
          <w:b w:val="0"/>
          <w:i/>
          <w:strike w:val="0"/>
          <w:noProof w:val="0"/>
          <w:color w:val="000000"/>
          <w:position w:val="0"/>
          <w:sz w:val="20"/>
          <w:u w:val="none"/>
          <w:vertAlign w:val="baseline"/>
        </w:rPr>
        <w:t>Promoting Diversity.</w:t>
      </w:r>
      <w:r>
        <w:rPr>
          <w:rFonts w:ascii="arial" w:eastAsia="arial" w:hAnsi="arial" w:cs="arial"/>
          <w:b w:val="0"/>
          <w:i w:val="0"/>
          <w:strike w:val="0"/>
          <w:noProof w:val="0"/>
          <w:color w:val="000000"/>
          <w:position w:val="0"/>
          <w:sz w:val="20"/>
          <w:u w:val="none"/>
          <w:vertAlign w:val="baseline"/>
        </w:rPr>
        <w:t xml:space="preserve"> It is from the Final Priorities for this program. This priority awards additional points to applications that demonstrate a record of, and an intent to continue, taking active measures to promote diversity by bringing together students of different backgrounds, such as different racial, ethnic, and socioeconomic backgrounds, and to serve students with disabilities and English learners at rates comparable to the rates at which these students are served in public schools in the surrounding area. In connection with developing responses to this priority, applicants are encouraged to refer to the joint guidance issued by the Department's Office for Civil Rights and the U.S. Department of Justice entitled, "Guidance on the Voluntary Use of Race to Achieve Diversity and Avoid Racial Isolation in Elementary and Secondary Schools" (</w:t>
      </w:r>
      <w:r>
        <w:rPr>
          <w:rFonts w:ascii="arial" w:eastAsia="arial" w:hAnsi="arial" w:cs="arial"/>
          <w:b w:val="0"/>
          <w:i/>
          <w:strike w:val="0"/>
          <w:noProof w:val="0"/>
          <w:color w:val="000000"/>
          <w:position w:val="0"/>
          <w:sz w:val="20"/>
          <w:u w:val="none"/>
          <w:vertAlign w:val="baseline"/>
        </w:rPr>
        <w:t>www2.ed.gov/about/offices/list/ocr/docs/guidance-ese-201111.pdf</w:t>
      </w:r>
      <w:r>
        <w:rPr>
          <w:rFonts w:ascii="arial" w:eastAsia="arial" w:hAnsi="arial" w:cs="arial"/>
          <w:b w:val="0"/>
          <w:i w:val="0"/>
          <w:strike w:val="0"/>
          <w:noProof w:val="0"/>
          <w:color w:val="000000"/>
          <w:position w:val="0"/>
          <w:sz w:val="20"/>
          <w:u w:val="none"/>
          <w:vertAlign w:val="baseline"/>
        </w:rPr>
        <w:t>) and "Schools' Civil Rights Obligations to English Learner Students and Limited English Proficient Parents" (</w:t>
      </w:r>
      <w:r>
        <w:rPr>
          <w:rFonts w:ascii="arial" w:eastAsia="arial" w:hAnsi="arial" w:cs="arial"/>
          <w:b w:val="0"/>
          <w:i/>
          <w:strike w:val="0"/>
          <w:noProof w:val="0"/>
          <w:color w:val="000000"/>
          <w:position w:val="0"/>
          <w:sz w:val="20"/>
          <w:u w:val="none"/>
          <w:vertAlign w:val="baseline"/>
        </w:rPr>
        <w:t>www2.ed.gov/about/offices/list/ocr/ellresources.html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Novice Applicants (as defined in this notice). It is from </w:t>
      </w:r>
      <w:hyperlink r:id="rId12" w:history="1">
        <w:r>
          <w:rPr>
            <w:rFonts w:ascii="arial" w:eastAsia="arial" w:hAnsi="arial" w:cs="arial"/>
            <w:b w:val="0"/>
            <w:i/>
            <w:strike w:val="0"/>
            <w:noProof w:val="0"/>
            <w:color w:val="0077CC"/>
            <w:position w:val="0"/>
            <w:sz w:val="20"/>
            <w:u w:val="single"/>
            <w:vertAlign w:val="baseline"/>
          </w:rPr>
          <w:t>34 CFR 75.225(c)(2)</w:t>
        </w:r>
      </w:hyperlink>
      <w:r>
        <w:rPr>
          <w:rFonts w:ascii="arial" w:eastAsia="arial" w:hAnsi="arial" w:cs="arial"/>
          <w:b w:val="0"/>
          <w:i w:val="0"/>
          <w:strike w:val="0"/>
          <w:noProof w:val="0"/>
          <w:color w:val="000000"/>
          <w:position w:val="0"/>
          <w:sz w:val="20"/>
          <w:u w:val="none"/>
          <w:vertAlign w:val="baseline"/>
        </w:rPr>
        <w:t>. This priority provides additional points to applicants that have neither received a CSP Replication and Expansion grant--either individually or as part of a group--at any point in the past nor received a discretionary grant from the Federal government in the previous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2016 Replication and Expansion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continues to include an invitational priority that encourages applicants to conduct rigorous evaluations of practices within their schools that will, if well implemented, produce evidence that meets What Works Clearinghouse (WWC) Evidence Standards (as defined in this notice). The Department remains committed to building evidence of the effectiveness of a range of educational practices, increasing the number of schools that implement practices that are based on evidence, and identifying and evaluating practices that other schools or school systems could adopt to improve outcomes for their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educator induction practices or school discipline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Consolidated Appropriations Act, 2016, Division H,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(FY 2016 Appropriations Act), retains the authority provided in Appropriations Acts for fiscal years 2014 and 2015 to use CSP funds "for grants that support preschool education in charter schools." For information on the use of CSP funds to support preschool education in charter schools, see "Guidance on the Use of Funds to Support Preschool Education" at </w:t>
      </w:r>
      <w:r>
        <w:rPr>
          <w:rFonts w:ascii="arial" w:eastAsia="arial" w:hAnsi="arial" w:cs="arial"/>
          <w:b w:val="0"/>
          <w:i/>
          <w:strike w:val="0"/>
          <w:noProof w:val="0"/>
          <w:color w:val="000000"/>
          <w:position w:val="0"/>
          <w:sz w:val="20"/>
          <w:u w:val="none"/>
          <w:vertAlign w:val="baseline"/>
        </w:rPr>
        <w:t>www2.ed.gov/programs/charter/csppreschoolfaqs.doc.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as outlined in section 5210(1)(G) of the ESEA, must comply with various non-discrimination laws, including the Age Discrimination Act of 1975, title VI of the Civil Rights Act of 1964, title IX of the Education Amendments of 1972, section 504 of the Rehabilitation Act of 1973, part B of the Individuals with Disabilities Education Act (specifies rights afforded to students with disabilities and their parents), and applicable State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two absolute priorities,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Both absolute </w:t>
      </w:r>
      <w:r>
        <w:rPr>
          <w:rFonts w:ascii="arial" w:eastAsia="arial" w:hAnsi="arial" w:cs="arial"/>
          <w:b/>
          <w:i w:val="0"/>
          <w:strike w:val="0"/>
          <w:noProof w:val="0"/>
          <w:color w:val="000000"/>
          <w:position w:val="0"/>
          <w:sz w:val="20"/>
          <w:u w:val="none"/>
          <w:vertAlign w:val="baseline"/>
        </w:rPr>
        <w:t> [*28839] </w:t>
      </w:r>
      <w:r>
        <w:rPr>
          <w:rFonts w:ascii="arial" w:eastAsia="arial" w:hAnsi="arial" w:cs="arial"/>
          <w:b w:val="0"/>
          <w:i w:val="0"/>
          <w:strike w:val="0"/>
          <w:noProof w:val="0"/>
          <w:color w:val="000000"/>
          <w:position w:val="0"/>
          <w:sz w:val="20"/>
          <w:u w:val="none"/>
          <w:vertAlign w:val="baseline"/>
        </w:rPr>
        <w:t xml:space="preserve"> priorities are from the Final Priorities for this program. Part (a)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the Supplemental Priorities; part (b) is from the Final Priorities; and part (c) is from the Promise Zones Priority.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the Final Priorities,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w:t>
      </w:r>
      <w:hyperlink r:id="rId12" w:history="1">
        <w:r>
          <w:rPr>
            <w:rFonts w:ascii="arial" w:eastAsia="arial" w:hAnsi="arial" w:cs="arial"/>
            <w:b w:val="0"/>
            <w:i/>
            <w:strike w:val="0"/>
            <w:noProof w:val="0"/>
            <w:color w:val="0077CC"/>
            <w:position w:val="0"/>
            <w:sz w:val="20"/>
            <w:u w:val="single"/>
            <w:vertAlign w:val="baseline"/>
          </w:rPr>
          <w:t>34 CFR 75.225(c)(2)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3"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 following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1--Experience Operating or Managing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will provide for the replication or expansion of high-quality charter schools (as defined in this notice) by applicants that currently operate or manage more than one high-quality charter school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2--Low-Income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at least 60 percent of all students in the charter schools it currently operates or manages are individuals from low-income families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3"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will award an additional five points to an application that addresses part (a)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four points to an application that addresses part (b)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or an additional point to an application that addresses part (c)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application may receive points for only one of the three parts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should specify which part it is addressing. If an applicant addresses more than one part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does not specify whether it is addressing part (a), (b), or (c), the application will be awarded priority points only for the part addressed in the application that has the highest maximum potential point value, regardless of the number of priority points the application is awarded for that particular part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The maximum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application can receive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(0, 1, 4,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Supporting High Need Students.</w:t>
      </w:r>
      <w:r>
        <w:rPr>
          <w:rFonts w:ascii="arial" w:eastAsia="arial" w:hAnsi="arial" w:cs="arial"/>
          <w:b w:val="0"/>
          <w:i w:val="0"/>
          <w:strike w:val="0"/>
          <w:noProof w:val="0"/>
          <w:color w:val="000000"/>
          <w:position w:val="0"/>
          <w:sz w:val="20"/>
          <w:u w:val="none"/>
          <w:vertAlign w:val="baseline"/>
        </w:rPr>
        <w:t xml:space="preserve">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learning environments, or both, for students who are members of federally recognized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School Improvement.</w:t>
      </w:r>
      <w:r>
        <w:rPr>
          <w:rFonts w:ascii="arial" w:eastAsia="arial" w:hAnsi="arial" w:cs="arial"/>
          <w:b w:val="0"/>
          <w:i w:val="0"/>
          <w:strike w:val="0"/>
          <w:noProof w:val="0"/>
          <w:color w:val="000000"/>
          <w:position w:val="0"/>
          <w:sz w:val="20"/>
          <w:u w:val="none"/>
          <w:vertAlign w:val="baseline"/>
        </w:rPr>
        <w:t xml:space="preserve"> (0 or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demonstrate that its proposed replication or expansion of one or more high-quality charter schools (as defined in this notice) will occur in partnership with, and will be designed to assist, one or more LEAs in implementing academic or structural interventions to serve students attending schools that have been identified for improvement, corrective action, closure, or restructuring under section 1116 of the ESEA, and as described in the notice of final requirements for School Improvement Grants,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28, 2010 </w:t>
      </w:r>
      <w:r>
        <w:rPr>
          <w:rFonts w:ascii="arial" w:eastAsia="arial" w:hAnsi="arial" w:cs="arial"/>
          <w:b w:val="0"/>
          <w:i/>
          <w:strike w:val="0"/>
          <w:noProof w:val="0"/>
          <w:color w:val="000000"/>
          <w:position w:val="0"/>
          <w:sz w:val="20"/>
          <w:u w:val="none"/>
          <w:vertAlign w:val="baseline"/>
        </w:rPr>
        <w:t>(75 FR 66363).</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in States that are exercising flexibility under the ESEA, as amended by NCLB, in the 2015-16 school year may partner with LEAs to serve students attending priority or focus schools (see the Department's June 7, 2012 guidance entitled, "ESEA Flexibility," at </w:t>
      </w:r>
      <w:hyperlink r:id="rId14" w:history="1">
        <w:r>
          <w:rPr>
            <w:rFonts w:ascii="arial" w:eastAsia="arial" w:hAnsi="arial" w:cs="arial"/>
            <w:b w:val="0"/>
            <w:i/>
            <w:strike w:val="0"/>
            <w:noProof w:val="0"/>
            <w:color w:val="0077CC"/>
            <w:position w:val="0"/>
            <w:sz w:val="20"/>
            <w:u w:val="single"/>
            <w:vertAlign w:val="baseline"/>
          </w:rPr>
          <w:t>www.ed.gov/esea/flexibility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Office of Elementary and Secondary Education's (OESE's) December 18, 2015 Dear Colleague Letter at </w:t>
      </w:r>
      <w:hyperlink r:id="rId15" w:history="1">
        <w:r>
          <w:rPr>
            <w:rFonts w:ascii="arial" w:eastAsia="arial" w:hAnsi="arial" w:cs="arial"/>
            <w:b w:val="0"/>
            <w:i/>
            <w:strike w:val="0"/>
            <w:noProof w:val="0"/>
            <w:color w:val="0077CC"/>
            <w:position w:val="0"/>
            <w:sz w:val="20"/>
            <w:u w:val="single"/>
            <w:vertAlign w:val="baseline"/>
          </w:rPr>
          <w:t>https://www2.ed.gov/policy/elsec/leg/essa/transition-dcl.pdf</w:t>
        </w:r>
      </w:hyperlink>
      <w:r>
        <w:rPr>
          <w:rFonts w:ascii="arial" w:eastAsia="arial" w:hAnsi="arial" w:cs="arial"/>
          <w:b w:val="0"/>
          <w:i w:val="0"/>
          <w:strike w:val="0"/>
          <w:noProof w:val="0"/>
          <w:color w:val="000000"/>
          <w:position w:val="0"/>
          <w:sz w:val="20"/>
          <w:u w:val="none"/>
          <w:vertAlign w:val="baseline"/>
        </w:rPr>
        <w:t xml:space="preserve">). Applicants in all States should review OESE's January 28, 2016 Dear Colleague Letter at </w:t>
      </w:r>
      <w:hyperlink r:id="rId16" w:history="1">
        <w:r>
          <w:rPr>
            <w:rFonts w:ascii="arial" w:eastAsia="arial" w:hAnsi="arial" w:cs="arial"/>
            <w:b w:val="0"/>
            <w:i/>
            <w:strike w:val="0"/>
            <w:noProof w:val="0"/>
            <w:color w:val="0077CC"/>
            <w:position w:val="0"/>
            <w:sz w:val="20"/>
            <w:u w:val="single"/>
            <w:vertAlign w:val="baseline"/>
          </w:rPr>
          <w:t>https://www2.ed.gov/policy/elsec/leg/essa/transitionsy1617-dcl.pdf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information on interventions required in 2016-2017.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Promise Zones.</w:t>
      </w:r>
      <w:r>
        <w:rPr>
          <w:rFonts w:ascii="arial" w:eastAsia="arial" w:hAnsi="arial" w:cs="arial"/>
          <w:b w:val="0"/>
          <w:i w:val="0"/>
          <w:strike w:val="0"/>
          <w:noProof w:val="0"/>
          <w:color w:val="000000"/>
          <w:position w:val="0"/>
          <w:sz w:val="20"/>
          <w:u w:val="none"/>
          <w:vertAlign w:val="baseline"/>
        </w:rPr>
        <w:t xml:space="preserve">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a participant in the Administration's Promise Zones Initiative, the Department is cooperating with the Department of Housing and Urban Development (HUD), the Department of Agriculture (USDA), and nine other Federal agencies to support comprehensive revitalization efforts in 20 high-poverty urban, rural, and tribal communities across the country. Each application for Replication and Expansion grant funds that is accompanied by a Certification of Consistency with Promise Zone Goals and Implementation (HUD Form 50153), signed by an authorized representative of the lead organization of a Promise Zone designated by HUD or USDA supporting the application, will meet this priority. To view the list of designated Promise Zones and lead organizations please go to </w:t>
      </w:r>
      <w:hyperlink r:id="rId17" w:history="1">
        <w:r>
          <w:rPr>
            <w:rFonts w:ascii="arial" w:eastAsia="arial" w:hAnsi="arial" w:cs="arial"/>
            <w:b w:val="0"/>
            <w:i/>
            <w:strike w:val="0"/>
            <w:noProof w:val="0"/>
            <w:color w:val="0077CC"/>
            <w:position w:val="0"/>
            <w:sz w:val="20"/>
            <w:u w:val="single"/>
            <w:vertAlign w:val="baseline"/>
          </w:rPr>
          <w:t>www.hud.gov/promisezones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certification form is available at </w:t>
      </w:r>
      <w:hyperlink r:id="rId18" w:history="1">
        <w:r>
          <w:rPr>
            <w:rFonts w:ascii="arial" w:eastAsia="arial" w:hAnsi="arial" w:cs="arial"/>
            <w:b w:val="0"/>
            <w:i/>
            <w:strike w:val="0"/>
            <w:noProof w:val="0"/>
            <w:color w:val="0077CC"/>
            <w:position w:val="0"/>
            <w:sz w:val="20"/>
            <w:u w:val="single"/>
            <w:vertAlign w:val="baseline"/>
          </w:rPr>
          <w:t>https://portal.hud.gov/hudportal/documents/huddoc?id=HUD_Form_50153.pdf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2--Promoting Diversity.</w:t>
      </w:r>
      <w:r>
        <w:rPr>
          <w:rFonts w:ascii="arial" w:eastAsia="arial" w:hAnsi="arial" w:cs="arial"/>
          <w:b w:val="0"/>
          <w:i w:val="0"/>
          <w:strike w:val="0"/>
          <w:noProof w:val="0"/>
          <w:color w:val="000000"/>
          <w:position w:val="0"/>
          <w:sz w:val="20"/>
          <w:u w:val="none"/>
          <w:vertAlign w:val="baseline"/>
        </w:rPr>
        <w:t xml:space="preserve">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applicants that demonstrate a record of (in the schools they currently operate or manage), as well as an intent to continue (in schools that they will be creating or substantially expanding (as defined in this notice) under this grant), taking active measures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Promote student diversity, including racial and ethnic diversity, or avoid racial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Serve students with disabilities at a rate that is at least comparable to the rate at which these students are served in public schools in the surrounding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Serve English learners at a rate that is at least comparable to the rate at which these students are served in public schools in the surrounding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this priority, applicants must provide enrollment data as well as descriptions of existing policies and activities undertaken or planned to be undertaken.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invited to discuss how the proposed design of its project will encourage approaches by charter schools that help bring together students of different backgrounds, including students from different racial and ethnic backgrounds, to attain the benefits that flow from a diverse student body. The applicant should discuss in its application how it would ensure that those approaches are permissible under current law.</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3--Novice Applicant.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 CFR 75.225(c)(2)</w:t>
        </w:r>
      </w:hyperlink>
      <w:r>
        <w:rPr>
          <w:rFonts w:ascii="arial" w:eastAsia="arial" w:hAnsi="arial" w:cs="arial"/>
          <w:b w:val="0"/>
          <w:i w:val="0"/>
          <w:strike w:val="0"/>
          <w:noProof w:val="0"/>
          <w:color w:val="000000"/>
          <w:position w:val="0"/>
          <w:sz w:val="20"/>
          <w:u w:val="none"/>
          <w:vertAlign w:val="baseline"/>
        </w:rPr>
        <w:t>)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applicants that qualify as novice applicants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3"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w:t>
      </w:r>
      <w:r>
        <w:rPr>
          <w:rFonts w:ascii="arial" w:eastAsia="arial" w:hAnsi="arial" w:cs="arial"/>
          <w:b/>
          <w:i w:val="0"/>
          <w:strike w:val="0"/>
          <w:noProof w:val="0"/>
          <w:color w:val="000000"/>
          <w:position w:val="0"/>
          <w:sz w:val="20"/>
          <w:u w:val="none"/>
          <w:vertAlign w:val="baseline"/>
        </w:rPr>
        <w:t> [*28840] </w:t>
      </w:r>
      <w:r>
        <w:rPr>
          <w:rFonts w:ascii="arial" w:eastAsia="arial" w:hAnsi="arial" w:cs="arial"/>
          <w:b w:val="0"/>
          <w:i w:val="0"/>
          <w:strike w:val="0"/>
          <w:noProof w:val="0"/>
          <w:color w:val="000000"/>
          <w:position w:val="0"/>
          <w:sz w:val="20"/>
          <w:u w:val="none"/>
          <w:vertAlign w:val="baseline"/>
        </w:rPr>
        <w:t xml:space="preserve"> invitational priority any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Priority--Rigorous Evaluation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is particularly interested in funding applications that demonstrate that the applicant is currently conducting, or will conduct, a rigorous independent evaluation of specific practices within the applicant's charter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 discipline policies or professional development practices, such as teacher coaching), through a quasi-experimental design study or randomized controlled trial (as defined in this notice) that will, if well implemented, meet What Works Clearinghouse (WWC) Evidence Standards (as defined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w:t>
      </w:r>
      <w:hyperlink r:id="rId12" w:history="1">
        <w:r>
          <w:rPr>
            <w:rFonts w:ascii="arial" w:eastAsia="arial" w:hAnsi="arial" w:cs="arial"/>
            <w:b w:val="0"/>
            <w:i/>
            <w:strike w:val="0"/>
            <w:noProof w:val="0"/>
            <w:color w:val="0077CC"/>
            <w:position w:val="0"/>
            <w:sz w:val="20"/>
            <w:u w:val="single"/>
            <w:vertAlign w:val="baseline"/>
          </w:rPr>
          <w:t>34 CFR 75.225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the Final Priorities for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(as defined in this notice), whether a performance target (as defined in this notice) is ambitious depends upon the context of the relevant performance measure (as defined in this notice) and the baseline (as defined in this notice) for that measure.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 (CMO)</w:t>
      </w:r>
      <w:r>
        <w:rPr>
          <w:rFonts w:ascii="arial" w:eastAsia="arial" w:hAnsi="arial" w:cs="arial"/>
          <w:b w:val="0"/>
          <w:i w:val="0"/>
          <w:strike w:val="0"/>
          <w:noProof w:val="0"/>
          <w:color w:val="000000"/>
          <w:position w:val="0"/>
          <w:sz w:val="20"/>
          <w:u w:val="none"/>
          <w:vertAlign w:val="baseline"/>
        </w:rPr>
        <w:t xml:space="preserve"> is a nonprofit organization that operates or manages multiple charter schools by centralizing or sharing certain functions and resources among schools.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includes, but is not necessarily limited to, individuals from low-income families (as defined in this notice), English learners, migratory children, children with disabilities, and neglected or delinquent children.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is a school that shows evidence of strong academic results for the past three years (or over the life of the school, if the school has been open for fewer than three years),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Increasing student academic achievement and attainment for all students, including, as applicable, educationally disadvantaged students (as defined in this notice) served by the charter schools operated or managed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 (i) Demonstrated success in closing historic achievement gaps for the subgroups of students described in section 1111(b)(2)(C)(v)(II) of the ESEA at the charter schools operated or managed by the applicant,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 significant achievement gaps between any of the subgroups of students described in section 1111(b)(2)(C)(v)(II) of the ESEA at the charter schools operated or managed by the applicant and significant gains in student academic achievement with all populations of students served by the charter schools operated or managed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Achieved results (including performance on statewide tests, annual student attendance and retention rates, high school graduation rates, college attendance rates, and college persistence rates where applicable and available) for low-income and other educationally disadvantaged students (as defined in this notice) served by the charter schools operated or managed by the applicant that are above the average academic achievement results for such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 significant compliance issues (as defined in this notice), particularly in the areas of student safety and financial management. (Final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from a low-income family</w:t>
      </w:r>
      <w:r>
        <w:rPr>
          <w:rFonts w:ascii="arial" w:eastAsia="arial" w:hAnsi="arial" w:cs="arial"/>
          <w:b w:val="0"/>
          <w:i w:val="0"/>
          <w:strike w:val="0"/>
          <w:noProof w:val="0"/>
          <w:color w:val="000000"/>
          <w:position w:val="0"/>
          <w:sz w:val="20"/>
          <w:u w:val="none"/>
          <w:vertAlign w:val="baseline"/>
        </w:rPr>
        <w:t xml:space="preserve"> means an individual who is determined by a State educational agency (SEA) or LEA to be a child, age 5 through 17, from a low-income family on the basis of (a) data used by the Secretary to determine allocations under section 1124 of the ESEA, (b) data on children eligible for free or reduced-price lunches under the Richard B. Russell National School Lunch Act, (c) data on children in families receiving assistance under part A of title IV of the Social Security Act, (d) data on children eligible to receive medical assistance under the Medicaid program under Title XIX of the Social Security Act, or (e) an alternate method that combines or extrapolates from the data in items (a) through (d) of this definition (see </w:t>
      </w:r>
      <w:hyperlink r:id="rId20" w:history="1">
        <w:r>
          <w:rPr>
            <w:rFonts w:ascii="arial" w:eastAsia="arial" w:hAnsi="arial" w:cs="arial"/>
            <w:b w:val="0"/>
            <w:i/>
            <w:strike w:val="0"/>
            <w:noProof w:val="0"/>
            <w:color w:val="0077CC"/>
            <w:position w:val="0"/>
            <w:sz w:val="20"/>
            <w:u w:val="single"/>
            <w:vertAlign w:val="baseline"/>
          </w:rPr>
          <w:t>20 U.S.C. 6537(3)</w:t>
        </w:r>
      </w:hyperlink>
      <w:r>
        <w:rPr>
          <w:rFonts w:ascii="arial" w:eastAsia="arial" w:hAnsi="arial" w:cs="arial"/>
          <w:b w:val="0"/>
          <w:i w:val="0"/>
          <w:strike w:val="0"/>
          <w:noProof w:val="0"/>
          <w:color w:val="000000"/>
          <w:position w:val="0"/>
          <w:sz w:val="20"/>
          <w:u w:val="none"/>
          <w:vertAlign w:val="baseline"/>
        </w:rPr>
        <w:t>).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Novice applicant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applicant for a grant from the Department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Has never received a grant or subgrant under the program from which it seeks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Has never been a member of a group application, submitted in accordance with </w:t>
      </w:r>
      <w:hyperlink r:id="rId21"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that received a grant under the program from which it seeks funding;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Has not had an active discretionary grant from the Federal government in the five years before the deadline date for applications for new awards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paragraph (a)(1)(iii) of this section, a grant is active until the end of the grant's project or funding period, including any extensions of those periods that extend the grantee's authority to obligate funds (</w:t>
      </w:r>
      <w:hyperlink r:id="rId12" w:history="1">
        <w:r>
          <w:rPr>
            <w:rFonts w:ascii="arial" w:eastAsia="arial" w:hAnsi="arial" w:cs="arial"/>
            <w:b w:val="0"/>
            <w:i/>
            <w:strike w:val="0"/>
            <w:noProof w:val="0"/>
            <w:color w:val="0077CC"/>
            <w:position w:val="0"/>
            <w:sz w:val="20"/>
            <w:u w:val="single"/>
            <w:vertAlign w:val="baseline"/>
          </w:rPr>
          <w:t>34 CFR 75.225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(as defined in this notice) without reservations.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means to open one or more new charter schools that are based on the charter school model or models for which the applicant has presented evidence of success.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compliance issue</w:t>
      </w:r>
      <w:r>
        <w:rPr>
          <w:rFonts w:ascii="arial" w:eastAsia="arial" w:hAnsi="arial" w:cs="arial"/>
          <w:b w:val="0"/>
          <w:i w:val="0"/>
          <w:strike w:val="0"/>
          <w:noProof w:val="0"/>
          <w:color w:val="000000"/>
          <w:position w:val="0"/>
          <w:sz w:val="20"/>
          <w:u w:val="none"/>
          <w:vertAlign w:val="baseline"/>
        </w:rPr>
        <w:t xml:space="preserve"> means a violation that did, will, or could lead to the revocation of a school's charter.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Substantially expand</w:t>
      </w:r>
      <w:r>
        <w:rPr>
          <w:rFonts w:ascii="arial" w:eastAsia="arial" w:hAnsi="arial" w:cs="arial"/>
          <w:b w:val="0"/>
          <w:i w:val="0"/>
          <w:strike w:val="0"/>
          <w:noProof w:val="0"/>
          <w:color w:val="000000"/>
          <w:position w:val="0"/>
          <w:sz w:val="20"/>
          <w:u w:val="none"/>
          <w:vertAlign w:val="baseline"/>
        </w:rPr>
        <w:t xml:space="preserve"> means to increase the student count of an existing charter school by more than 50 percent or to add at least two grades to an existing charter school over the course of the grant. (Final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 </w:t>
      </w:r>
      <w:r>
        <w:rPr>
          <w:rFonts w:ascii="arial" w:eastAsia="arial" w:hAnsi="arial" w:cs="arial"/>
          <w:b w:val="0"/>
          <w:i/>
          <w:strike w:val="0"/>
          <w:noProof w:val="0"/>
          <w:color w:val="000000"/>
          <w:position w:val="0"/>
          <w:sz w:val="20"/>
          <w:u w:val="none"/>
          <w:vertAlign w:val="baseline"/>
        </w:rPr>
        <w:t>ies.ed.gov/ncee/wwc/DocumentSum.aspx?sid=19</w:t>
      </w:r>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[*28841]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FY 2016 Appropriations Act; and the ESEA, as amended by NCLB (</w:t>
      </w:r>
      <w:hyperlink r:id="rId23"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Final Priorities for this program. (e) The Promise Zones Priority. (f)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$ 65,000,000.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to $ 3,000,000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III.3.(a) below for information regarding the maximum amount of funds that may be awarded per new school seat and per new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Non-profit charter management organizations (as defined in this notice) and other entities that are not for-profit entities. Eligible applicants also may apply as a group or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grant funds that may be awarded per charter school replicated (as defined in this notice), per charter school substantially expanded (as defined in this notice), or per new school seat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maximum limit of grant funds that may be awarded per new school seat is $ 3,000, including a maximum limit per new school created of $ 800,000. The maximum limit per new school seat in a charter school that is substantially expanding (as defined in this notice) its enrollment is $ 1,500, including a maximum limit per substantially expanded (as defined in this notice) school of $ 800,000.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ensure that all costs included in the proposed budget are reasonable and necessary in light of the goals and objectives of the proposed project. Any costs determined by the Secretary to be unreasonable or unnecessary will be removed from the final approved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has received CSP funds for replication or expansion previously, or that has received funds for planning or initial implementation of a charter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84.282A or 84.282B), may not use funds under this grant for the same purpose. However, such charter school may be eligible to receive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substantially expand the charter school beyond the existing grade levels or student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charter school that receives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ineligible to receive funds for the same purpose under section 5202(c)(2) of the ESEA, including for planning and program design or the initial implementation of a charter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84.282A or 84.282B).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Costs for Evaluation.</w:t>
      </w:r>
      <w:r>
        <w:rPr>
          <w:rFonts w:ascii="arial" w:eastAsia="arial" w:hAnsi="arial" w:cs="arial"/>
          <w:b w:val="0"/>
          <w:i w:val="0"/>
          <w:strike w:val="0"/>
          <w:noProof w:val="0"/>
          <w:color w:val="000000"/>
          <w:position w:val="0"/>
          <w:sz w:val="20"/>
          <w:u w:val="none"/>
          <w:vertAlign w:val="baseline"/>
        </w:rPr>
        <w:t xml:space="preserve"> In accordance with </w:t>
      </w:r>
      <w:hyperlink r:id="rId25"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Replication and Expansion grant funds may be used to cover post-award costs associated with an evaluation under the invitational priority or an evaluation under Selection Criterion (e) of this notice, provided that such costs are reasonable and necessary to meet the objectives of the approved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Brian Martin, U.S. Department of Education, 400 Maryland Avenue SW., Room 4W224, Washington, DC 20202-5970. Telephone: (202) 205-9085 or by email: </w:t>
      </w:r>
      <w:hyperlink r:id="rId26"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priorities, selection criteria, and application requirements that reviewers use to evaluate your application. We recommend that you limit the application narrative [Part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Replication and Expansion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w:t>
      </w:r>
      <w:hyperlink r:id="rId27"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plan to make successful applications available to the public, you may wish to request confidentiality of business information. </w:t>
      </w:r>
      <w:r>
        <w:rPr>
          <w:rFonts w:ascii="arial" w:eastAsia="arial" w:hAnsi="arial" w:cs="arial"/>
          <w:b/>
          <w:i w:val="0"/>
          <w:strike w:val="0"/>
          <w:noProof w:val="0"/>
          <w:color w:val="000000"/>
          <w:position w:val="0"/>
          <w:sz w:val="20"/>
          <w:u w:val="none"/>
          <w:vertAlign w:val="baseline"/>
        </w:rPr>
        <w:t> [*28842]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27"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May 10,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Pre-Application Webinar: The Department will hold a pre-application meeting via Webinar for prospective applicants on June 16, 2016, 2:00 p.m. to 3:30 p.m., Washington, DC, time. Individuals interested in attending this meeting are encouraged to pre-register by emailing their name, organization, and contact information with the subject heading "PRE-APPLICATION MEETING" to </w:t>
      </w:r>
      <w:hyperlink r:id="rId2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Brian Martin, U.S. Department of Education, 400 Maryland Avenue SW., Room 4W224, Washington, DC 20202-5970. Telephone: (202) 205-9085 or by email: </w:t>
      </w:r>
      <w:hyperlink r:id="rId26"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August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Grantees under this program must use the grant funds to replicate (as defined in this notice) or substantially expand (as defined in this notice) the charter school model or models for which the applicant has presented evidence of success. Grant funds must be used to carry out allowable activities, as described in section 5204(f)(3) of the ESEA (</w:t>
      </w:r>
      <w:hyperlink r:id="rId29" w:history="1">
        <w:r>
          <w:rPr>
            <w:rFonts w:ascii="arial" w:eastAsia="arial" w:hAnsi="arial" w:cs="arial"/>
            <w:b w:val="0"/>
            <w:i/>
            <w:strike w:val="0"/>
            <w:noProof w:val="0"/>
            <w:color w:val="0077CC"/>
            <w:position w:val="0"/>
            <w:sz w:val="20"/>
            <w:u w:val="single"/>
            <w:vertAlign w:val="baseline"/>
          </w:rPr>
          <w:t>20 U.S.C. 7221c(f)(3)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5204(f)(3) of the ESEA, grantees under this program must use the grant funds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Post-award planning and design of the educational program, which may include: (i) Refinement of the desired educational results and of the methods for measuring progress toward achieving those results; and (ii) professional development of teachers and other staff who will work in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implementation of the charter school, which may include: (i) Informing the community about the school; (ii) acquiring necessary equipment and educational materials and supplies; (iii) acquiring or developing curriculum materials; and (iv) other initial operational costs that cannot be met from State or local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2016 Appropriations Act authorizes the use of CSP funds "for grants that support preschool education in charter schools." Therefore, an application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propose to use CSP funds to support preschool education in a charter school. For additional information and guidance regarding the use of CSP funds to support preschool education in charter schools, see "Guidance on the use of Funds to support Preschool Education," released in November 2014 (</w:t>
      </w:r>
      <w:r>
        <w:rPr>
          <w:rFonts w:ascii="arial" w:eastAsia="arial" w:hAnsi="arial" w:cs="arial"/>
          <w:b w:val="0"/>
          <w:i/>
          <w:strike w:val="0"/>
          <w:noProof w:val="0"/>
          <w:color w:val="000000"/>
          <w:position w:val="0"/>
          <w:sz w:val="20"/>
          <w:u w:val="none"/>
          <w:vertAlign w:val="baseline"/>
        </w:rPr>
        <w:t>www2.ed.gov/programs/charter/csppreschoolfaqs.doc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program requirements from the Final Priorities, a grantee may use up to 20 percent of grant funds for initial operational costs associated with the expansion or improvement of the grantee's oversight or management of its charter schools, provided that: (i) The specific charter schools being created or substantially expanded (as defined in this notice) under the grant are the intended beneficiaries of such expansion or improvement, and (ii) such expansion or improvement is intended to improve the grantee's ability to manage or oversee the charter schools created or substantially expanded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currently registered with SAM, you may not need to make any changes. However, please make certain that the TIN associated with your DUNS number is correct. Also note that you will need to update your registration annually. This may take three or more business days. </w:t>
      </w:r>
      <w:r>
        <w:rPr>
          <w:rFonts w:ascii="arial" w:eastAsia="arial" w:hAnsi="arial" w:cs="arial"/>
          <w:b/>
          <w:i w:val="0"/>
          <w:strike w:val="0"/>
          <w:noProof w:val="0"/>
          <w:color w:val="000000"/>
          <w:position w:val="0"/>
          <w:sz w:val="20"/>
          <w:u w:val="none"/>
          <w:vertAlign w:val="baseline"/>
        </w:rPr>
        <w:t> [*28843]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Grants for Replication and Expansion of High-Quality Charter Schools, CFDA number 84.282M, must be submitted electronically using the Governmentwide Grants.gov Apply site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for Replication and Expansion of High-Quality Charter Schools at </w:t>
      </w:r>
      <w:hyperlink r:id="rId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 </w:t>
      </w:r>
      <w:r>
        <w:rPr>
          <w:rFonts w:ascii="arial" w:eastAsia="arial" w:hAnsi="arial" w:cs="arial"/>
          <w:b/>
          <w:i w:val="0"/>
          <w:strike w:val="0"/>
          <w:noProof w:val="0"/>
          <w:color w:val="000000"/>
          <w:position w:val="0"/>
          <w:sz w:val="20"/>
          <w:u w:val="none"/>
          <w:vertAlign w:val="baseline"/>
        </w:rPr>
        <w:t> [*28844]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determinate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Brian Martin, U.S. Department of Education, 400 Maryland Avenue SW., Room 4W224,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84.282M,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84.282M,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Applications for CSP Replication and Expansion grant funds must address the following application requirements. An applicant may choose to respond to the application requirements in the context of its responses to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the Final Priorities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Describe the objectives of the project for replicating or substantially expanding high-quality charter schools (as defined in this notice) and the methods by which the applicant will determine its progress toward achieving those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Describe how the applicant currently operates or manages the charter schools for which it has </w:t>
      </w:r>
      <w:r>
        <w:rPr>
          <w:rFonts w:ascii="arial" w:eastAsia="arial" w:hAnsi="arial" w:cs="arial"/>
          <w:b/>
          <w:i w:val="0"/>
          <w:strike w:val="0"/>
          <w:noProof w:val="0"/>
          <w:color w:val="000000"/>
          <w:position w:val="0"/>
          <w:sz w:val="20"/>
          <w:u w:val="none"/>
          <w:vertAlign w:val="baseline"/>
        </w:rPr>
        <w:t> [*28845] </w:t>
      </w:r>
      <w:r>
        <w:rPr>
          <w:rFonts w:ascii="arial" w:eastAsia="arial" w:hAnsi="arial" w:cs="arial"/>
          <w:b w:val="0"/>
          <w:i w:val="0"/>
          <w:strike w:val="0"/>
          <w:noProof w:val="0"/>
          <w:color w:val="000000"/>
          <w:position w:val="0"/>
          <w:sz w:val="20"/>
          <w:u w:val="none"/>
          <w:vertAlign w:val="baseline"/>
        </w:rPr>
        <w:t xml:space="preserve"> presented evidence of success, and how the proposed new or substantially expanded (as defined in this notice) charter schools will be operated or managed. Include a description of central office functions, governance, daily operations, financial management, human resources management, and instructional management. If applying as a group or consortium, describe the roles and responsibilities of each member of the group or consortium and how each member will contribute to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how the applicant will ensure that each proposed new or substantially expanded charter school receives its commensurate share of Federal education funds that are allocated by formula each year, including during the first year of operation of the school and any year in which the school's enrollment substantially expands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the educational program to be implemented in the proposed new or substantially expanded charter schools, including how the program will enable all students (including educationally disadvantaged students (as defined in this notice)) to meet State student academic achievement standards, the grade levels or ages of students to be served, and the curriculum and instructional practices to be used.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part of the grants review process, an applicant currently operating or proposing to create or substantially expand (as defined in this notice) a single-sex charter school, or an applicant currently providing or proposing to provide a single-sex class or single-sex extracurricular activity within a coeducational charter school (collectively referred to as "single-sex educational program"), must demonstrate that its existing or proposed single-sex educational program is in compliance with applicable nondiscrimination laws, including the Equal Protection Clause of the U.S. Constitution (as interpreted in </w:t>
      </w:r>
      <w:hyperlink r:id="rId35"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36"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37" w:history="1">
        <w:r>
          <w:rPr>
            <w:rFonts w:ascii="arial" w:eastAsia="arial" w:hAnsi="arial" w:cs="arial"/>
            <w:b w:val="0"/>
            <w:i/>
            <w:strike w:val="0"/>
            <w:noProof w:val="0"/>
            <w:color w:val="0077CC"/>
            <w:position w:val="0"/>
            <w:sz w:val="20"/>
            <w:u w:val="single"/>
            <w:vertAlign w:val="baseline"/>
          </w:rPr>
          <w:t>34 CFR 106.34</w:t>
        </w:r>
      </w:hyperlink>
      <w:r>
        <w:rPr>
          <w:rFonts w:ascii="arial" w:eastAsia="arial" w:hAnsi="arial" w:cs="arial"/>
          <w:b w:val="0"/>
          <w:i w:val="0"/>
          <w:strike w:val="0"/>
          <w:noProof w:val="0"/>
          <w:color w:val="000000"/>
          <w:position w:val="0"/>
          <w:sz w:val="20"/>
          <w:u w:val="none"/>
          <w:vertAlign w:val="baseline"/>
        </w:rPr>
        <w:t>. Such an applicant likely will be required to provide fact-specific information about the single-sex educational program within specified timeframes. In addition, special conditions are likely to be placed on any grant awarded to an applicant that provides a single-sex educational program. Please see the application package for additional information related to the requirements for single-sex educational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 the administrative relationship between the charter school or schools to be replicated (as defined in this notice) or substantially expanded (as defined in this notice) by the applicant and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 how the applicant will provide for continued operation of the proposed new or substantially expanded charter school or schools once the Federal grant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Describe how parents and other members of the community will be involved in the planning, program design, and implementation of the proposed new or substantially expanded (as defined in this notice) charter school 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Include a request and justification for waivers of any Federal statutory or regulatory provisions that the applicant believes are necessary for the successful operation of the proposed new or substantially expanded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how the grant funds will be used, including how these funds will be used in conjunction with other Federal programs administered by the Secretary, and with any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Describe how all students in the community, including students with disabilities, English learners, and other educationally disadvantaged students (as defined in this notice), will be informed about the proposed new or substantially expanded (as defined in this notice) charter schools and given an equal opportunity to attend such schools.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section 5210(1)(H) of the ESEA (</w:t>
      </w:r>
      <w:hyperlink r:id="rId38" w:history="1">
        <w:r>
          <w:rPr>
            <w:rFonts w:ascii="arial" w:eastAsia="arial" w:hAnsi="arial" w:cs="arial"/>
            <w:b w:val="0"/>
            <w:i/>
            <w:strike w:val="0"/>
            <w:noProof w:val="0"/>
            <w:color w:val="0077CC"/>
            <w:position w:val="0"/>
            <w:sz w:val="20"/>
            <w:u w:val="single"/>
            <w:vertAlign w:val="baseline"/>
          </w:rPr>
          <w:t>20 U.S.C. 7221i(1)(H)</w:t>
        </w:r>
      </w:hyperlink>
      <w:r>
        <w:rPr>
          <w:rFonts w:ascii="arial" w:eastAsia="arial" w:hAnsi="arial" w:cs="arial"/>
          <w:b w:val="0"/>
          <w:i w:val="0"/>
          <w:strike w:val="0"/>
          <w:noProof w:val="0"/>
          <w:color w:val="000000"/>
          <w:position w:val="0"/>
          <w:sz w:val="20"/>
          <w:u w:val="none"/>
          <w:vertAlign w:val="baseline"/>
        </w:rPr>
        <w:t>), charter schools receiving CSP funds must admit students on the basis of a lottery if more students apply for admission than can be accommodated. Accordingly, the application must include a description of the applicant's admissions policy, including the lottery that will be employed by each charter school that is oversubscribed.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Describe how the proposed new or substantially expanded charter schools that are considered to be LEAs under State law, or the LEAs in which the new or substantially expanded (as defined in this notice) charter schools are located, will comply with sections 613(a)(5) and 613(e)(1)(B) of the Individuals with Disabilities Education Act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Provide information on any significant compliance issues (as defined in this notice) identified within the past three years for each school managed by the applicant, including compliance issues in the areas of student safety, financial management, and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For each charter school currently operated or managed by the applicant, provide the following information: The year founded, the grades currently served, the number of students, the address, the percentage of students in each subgroup of students described in section 1111(b)(2)(C)(v)(II) of the ESEA, results on the State assessment for the past three years (if available) by subgroup, attendance rates, student attrition rates for the past three years, and (if the school operates a 12th grade) high school graduation rates and college attendance rates (maintaining standards to protect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Provide objective data showing applicant quality. In particular, the Secretary requires the applicant to provide the following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 (school-wide and by subgroup) for the past three years (if available) on statewide tests of all charter schools operated or managed by the applicant as compared to all students in other schools in the State or States at the same grade level, and as compared with other schools serving similar demographics of students (maintaining standards to protect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student attendance and retention rates (school-wide and by subgroup) for the past three years (or over the life of the school, if the school has been open for fewer than three years), and comparisons with other similar schools (maintaining standards to protect personally identifiable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Where applicable and available, high school graduation rates, college attendance rates, and college persistence rates (school-wide and by subgroup) for the past three years (if available) of students attending schools operated or managed by the applicant, and the methodology used to calculate these rates (maintaining standards to protect personally identifiable information). When reporting data for schools in States that may have particularly demanding or low standards of proficiency, applicants are invited to discuss how their academic success might be considered against applicants from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Provide such other information and assurances as the Secretary may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the Final Priorities for this program and </w:t>
      </w:r>
      <w:hyperlink r:id="rId3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maximum possible score for addressing all of the criteria in this section is 100 points. The maximum possible score for addressing </w:t>
      </w:r>
      <w:r>
        <w:rPr>
          <w:rFonts w:ascii="arial" w:eastAsia="arial" w:hAnsi="arial" w:cs="arial"/>
          <w:b/>
          <w:i w:val="0"/>
          <w:strike w:val="0"/>
          <w:noProof w:val="0"/>
          <w:color w:val="000000"/>
          <w:position w:val="0"/>
          <w:sz w:val="20"/>
          <w:u w:val="none"/>
          <w:vertAlign w:val="baseline"/>
        </w:rPr>
        <w:t> [*28846] </w:t>
      </w:r>
      <w:r>
        <w:rPr>
          <w:rFonts w:ascii="arial" w:eastAsia="arial" w:hAnsi="arial" w:cs="arial"/>
          <w:b w:val="0"/>
          <w:i w:val="0"/>
          <w:strike w:val="0"/>
          <w:noProof w:val="0"/>
          <w:color w:val="000000"/>
          <w:position w:val="0"/>
          <w:sz w:val="20"/>
          <w:u w:val="none"/>
          <w:vertAlign w:val="baseline"/>
        </w:rPr>
        <w:t xml:space="preserve">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the Secretary considers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eligible applicant.</w:t>
      </w:r>
      <w:r>
        <w:rPr>
          <w:rFonts w:ascii="arial" w:eastAsia="arial" w:hAnsi="arial" w:cs="arial"/>
          <w:b w:val="0"/>
          <w:i w:val="0"/>
          <w:strike w:val="0"/>
          <w:noProof w:val="0"/>
          <w:color w:val="000000"/>
          <w:position w:val="0"/>
          <w:sz w:val="20"/>
          <w:u w:val="none"/>
          <w:vertAlign w:val="baseline"/>
        </w:rPr>
        <w:t xml:space="preserve"> (Final Priorities) (50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applicant,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including the consistency over the past three years, to which the applicant has demonstrated success in significantly increasing student academic achievement and attainment for all students, including, as applicable, educationally disadvantaged students (as defined in this notice) served by the charter schools operated or managed by the applicant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degree, including the consistency over the past three years, to which the applicant has demonstrated success in closing historic achievement gaps for the subgroups of students described in section 1111(b)(2)(C)(v)(II) of the ESEA at the charter schools operated or managed by the applicant,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degree, including the consistency over the past three years, to which there have not been significant achievement gaps between any of the subgroups of students described in section 1111(b)(2)(C)(v)(II) of the ESEA at the charter schools operated or managed by the applicant and to which significant gains in student academic achievement have been made with all populations of students served by the charter schools operated or managed by the applicant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degree, including the consistency over the past three years, to which the applicant has achieved results (including performance on statewide tests, annual student attendance and retention rates, high school graduation rates, college attendance rates, and college persistence rates where applicable and available) for low-income and other educationally disadvantaged students (as defined in this notice) served by the charter schools operated or managed by the applicant that are significantly above the average academic achievement results for such students in the State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Contribution in assisting educationally disadvantaged students.</w:t>
      </w:r>
      <w:r>
        <w:rPr>
          <w:rFonts w:ascii="arial" w:eastAsia="arial" w:hAnsi="arial" w:cs="arial"/>
          <w:b w:val="0"/>
          <w:i w:val="0"/>
          <w:strike w:val="0"/>
          <w:noProof w:val="0"/>
          <w:color w:val="000000"/>
          <w:position w:val="0"/>
          <w:sz w:val="20"/>
          <w:u w:val="none"/>
          <w:vertAlign w:val="baseline"/>
        </w:rPr>
        <w:t xml:space="preserve"> (Final Priorities)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the proposed project will make in assisting educationally disadvantaged students (as defined in this notice) served by the applicant to meet or exceed State academic content standards and State student academic achievement standards, and to graduate college- and career-ready. When responding to this selection criterion, applicants must discuss the proposed locations of schools to be created or substantially expanded and the student populations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(Final Priorities) (10 points) The Secretary considers the quality of the design of the proposed project. In determining the quality of the design of the proposed project, the Secretary considers the extent to which the goals, objectives, and outcomes to be achieved by the proposed project are clearly specified, measurable, and attainable. Applicants proposing to open schools serving substantially different populations than those currently served by the model for which they have demonstrated evidence of success must address the attainability of outcomes given this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and personnel.</w:t>
      </w:r>
      <w:r>
        <w:rPr>
          <w:rFonts w:ascii="arial" w:eastAsia="arial" w:hAnsi="arial" w:cs="arial"/>
          <w:b w:val="0"/>
          <w:i w:val="0"/>
          <w:strike w:val="0"/>
          <w:noProof w:val="0"/>
          <w:color w:val="000000"/>
          <w:position w:val="0"/>
          <w:sz w:val="20"/>
          <w:u w:val="none"/>
          <w:vertAlign w:val="baseline"/>
        </w:rPr>
        <w:t xml:space="preserve"> (Final Priorities)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and personnel to replicate and substantially expand high-quality charter schools (as defined in this notice). In determining the quality of the management plan and personnel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business plan for improving, sustaining, and ensuring the quality and performance of charter schools created or substantially expanded (as defined in this notice) under these grants beyond the initial period of Federal funding in areas including, but not limited to, facilities, financial management, central office, student academic achievement, governance, oversight, and human resources of the charter schools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multi-year financial and operating model for the organization, a demonstrated commitment of current and future partners, and evidence of broad support from stakeholders critical to the project's long-term success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for closing charter schools supported, overseen, or managed by the applicant that do not meet high standards of quality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qualifications, including relevant training and experience, of the project director, chief executive officer or organization leader, and key project personnel, especially in managing projects of the size and scope of the proposed project (6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evaluation plan.</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34 CFR 75.210(h)(2)(iv)</w:t>
        </w:r>
      </w:hyperlink>
      <w:r>
        <w:rPr>
          <w:rFonts w:ascii="arial" w:eastAsia="arial" w:hAnsi="arial" w:cs="arial"/>
          <w:b w:val="0"/>
          <w:i w:val="0"/>
          <w:strike w:val="0"/>
          <w:noProof w:val="0"/>
          <w:color w:val="000000"/>
          <w:position w:val="0"/>
          <w:sz w:val="20"/>
          <w:u w:val="none"/>
          <w:vertAlign w:val="baseline"/>
        </w:rPr>
        <w: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extent to which the methods of evaluation include the use of objective performance measures (as defined in this notice) that are clearly related to the intended outcomes of the project and will produce quantitative and qualitative data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 </w:t>
      </w:r>
      <w:r>
        <w:rPr>
          <w:rFonts w:ascii="arial" w:eastAsia="arial" w:hAnsi="arial" w:cs="arial"/>
          <w:b/>
          <w:i w:val="0"/>
          <w:strike w:val="0"/>
          <w:noProof w:val="0"/>
          <w:color w:val="000000"/>
          <w:position w:val="0"/>
          <w:sz w:val="20"/>
          <w:u w:val="none"/>
          <w:vertAlign w:val="baseline"/>
        </w:rPr>
        <w:t> [*28847]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 The goal of the CSP is to support the creation and development of a large number of high-quality charter schools (as defined in this notice) that are free from State or local rules that inhibit flexible operation, are held accountable for enabling students to reach challenging State performance standards, and are open to all students. The Secretary has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(as defined in this notice) and performance targets (as defined in this notice) consistent with the objectives of the proposed project. Applications must provide the following information as directed under </w:t>
      </w:r>
      <w:hyperlink r:id="rId53"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performance measure (as defined in this notice) would accurately measure the performance of the project and how the proposed performance measure (as defined in this notice) would be consistent with the performance measures (as defined in this notice)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baseline (as defined in this notice) is valid; or (ii) if the applicant has determined that there are no established baseline (as defined in this notice) data for a particular performance measure (as defined in this notice), an explanation of why there is no established baseline (as defined in this notice) and of how and when, during the project period, the applicant would establish a valid baseline (as defined in this notice) for the performance measure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performance target (as defined in this notice) is ambitious (as defined in this notice) yet achievable compared to the baseline (as defined in this notice) for the performance measure (as defined in this notice) and when, during the project period, the applicant would meet the performance target(s)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 (as defined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(as defined in this notice)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May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of Pre-Application Webinar: June 16, 2016, 2:00 p.m. to 3:30 p.m., Washington, DC,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August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 expanding the number of high-quality charter schools (as defined in this notice) available to students across the Nation; providing financial assistance for the planning, program design, and initial implementation of charter schools; and evaluating the effects of charter schools, including their effects on students, student academic achievement,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CSP Grants for Replication and Expansion of High-Quality Charter Schools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84.282M) is to award grants to eligible applicants to enable them to replicate (as defined in this notice) or expand high-quality charter schools (as defined in this notice) with demonstrated records of success, including success in increasing student academic achievement. Eligible applicants may use their grant funds to expand the enrollment of one or more existing charter schools by substantially increasing the number of available seats per school, or to open one or more new charter schools that are based on the charter school model for which the eligible applicant has presented evidence of success.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Martin, U.S. Department of Education, 400 Maryland Avenue SW., Room 4W224, Washington, DC 20202-5970. Telephone: (202) 205-9085 or by email: </w:t>
      </w:r>
      <w:hyperlink r:id="rId26"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2016-10925 Filed 5-9-16;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28837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7-0130-006W-81YP-00000-00&amp;context=" TargetMode="External" /><Relationship Id="rId11" Type="http://schemas.openxmlformats.org/officeDocument/2006/relationships/hyperlink" Target="https://advance.lexis.com/api/document?collection=administrative-codes&amp;id=urn:contentItem:5BV6-FN90-006W-808J-00000-00&amp;context=" TargetMode="External" /><Relationship Id="rId12" Type="http://schemas.openxmlformats.org/officeDocument/2006/relationships/hyperlink" Target="https://advance.lexis.com/api/document?collection=administrative-codes&amp;id=urn:contentItem:5GMB-DPF0-008H-034V-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www.ed.gov/esea/flexibility" TargetMode="External" /><Relationship Id="rId15" Type="http://schemas.openxmlformats.org/officeDocument/2006/relationships/hyperlink" Target="https://www2.ed.gov/policy/elsec/leg/essa/transition-dcl.pdf" TargetMode="External" /><Relationship Id="rId16" Type="http://schemas.openxmlformats.org/officeDocument/2006/relationships/hyperlink" Target="https://www2.ed.gov/policy/elsec/leg/essa/transitionsy1617-dcl.pdf" TargetMode="External" /><Relationship Id="rId17" Type="http://schemas.openxmlformats.org/officeDocument/2006/relationships/hyperlink" Target="http://www.hud.gov/promisezones" TargetMode="External" /><Relationship Id="rId18" Type="http://schemas.openxmlformats.org/officeDocument/2006/relationships/hyperlink" Target="https://portal.hud.gov/hudportal/documents/huddoc?id=HUD_Form_50153.pdf" TargetMode="External" /><Relationship Id="rId19" Type="http://schemas.openxmlformats.org/officeDocument/2006/relationships/hyperlink" Target="https://advance.lexis.com/api/document?collection=administrative-codes&amp;id=urn:contentItem:5S7T-7HV0-008H-03H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X1-NRF4-43K4-00000-00&amp;context=" TargetMode="External" /><Relationship Id="rId21" Type="http://schemas.openxmlformats.org/officeDocument/2006/relationships/hyperlink" Target="https://advance.lexis.com/api/document?collection=administrative-codes&amp;id=urn:contentItem:5GMB-DPB0-008H-0269-00000-00&amp;context=" TargetMode="External" /><Relationship Id="rId22" Type="http://schemas.openxmlformats.org/officeDocument/2006/relationships/hyperlink" Target="https://advance.lexis.com/api/document?collection=administrative-codes&amp;id=urn:contentItem:5GMB-DPB0-008H-026C-00000-00&amp;context=" TargetMode="External" /><Relationship Id="rId23" Type="http://schemas.openxmlformats.org/officeDocument/2006/relationships/hyperlink" Target="https://advance.lexis.com/api/document?collection=statutes-legislation&amp;id=urn:contentItem:4YF7-GWP1-NRF4-43C2-00000-00&amp;context=" TargetMode="External" /><Relationship Id="rId24" Type="http://schemas.openxmlformats.org/officeDocument/2006/relationships/hyperlink" Target="https://advance.lexis.com/api/document?collection=statutes-legislation&amp;id=urn:contentItem:4YF7-GPC1-NRF4-430S-00000-00&amp;context=" TargetMode="External" /><Relationship Id="rId25" Type="http://schemas.openxmlformats.org/officeDocument/2006/relationships/hyperlink" Target="https://advance.lexis.com/api/document?collection=administrative-codes&amp;id=urn:contentItem:5GMB-DPB0-008H-027J-00000-00&amp;context=" TargetMode="External" /><Relationship Id="rId26" Type="http://schemas.openxmlformats.org/officeDocument/2006/relationships/hyperlink" Target="mailto:brian.martin@ed.gov" TargetMode="External" /><Relationship Id="rId27" Type="http://schemas.openxmlformats.org/officeDocument/2006/relationships/hyperlink" Target="https://advance.lexis.com/api/document?collection=administrative-codes&amp;id=urn:contentItem:5G9C-N1H0-008H-002J-00000-00&amp;context=" TargetMode="External" /><Relationship Id="rId28" Type="http://schemas.openxmlformats.org/officeDocument/2006/relationships/hyperlink" Target="mailto:CharterSchools@ed.gov" TargetMode="External" /><Relationship Id="rId29" Type="http://schemas.openxmlformats.org/officeDocument/2006/relationships/hyperlink" Target="https://advance.lexis.com/api/document?collection=statutes-legislation&amp;id=urn:contentItem:4YF7-GT81-NRF4-401W-00000-00&amp;context=" TargetMode="External" /><Relationship Id="rId3" Type="http://schemas.openxmlformats.org/officeDocument/2006/relationships/fontTable" Target="fontTable.xml" /><Relationship Id="rId30" Type="http://schemas.openxmlformats.org/officeDocument/2006/relationships/hyperlink" Target="http://fedgov.dnb.com/webform" TargetMode="External" /><Relationship Id="rId31" Type="http://schemas.openxmlformats.org/officeDocument/2006/relationships/hyperlink" Target="http://www.SAM.gov" TargetMode="External" /><Relationship Id="rId32" Type="http://schemas.openxmlformats.org/officeDocument/2006/relationships/hyperlink" Target="http://www.grants.gov/web/grants/register.html" TargetMode="External" /><Relationship Id="rId33" Type="http://schemas.openxmlformats.org/officeDocument/2006/relationships/hyperlink" Target="http://www.G5.gov" TargetMode="External" /><Relationship Id="rId34" Type="http://schemas.openxmlformats.org/officeDocument/2006/relationships/hyperlink" Target="http://www.grants.gov/web/grants/applicants/apply-for-grants.html" TargetMode="External" /><Relationship Id="rId35" Type="http://schemas.openxmlformats.org/officeDocument/2006/relationships/hyperlink" Target="https://advance.lexis.com/api/document?collection=cases&amp;id=urn:contentItem:3S04-RPH0-003B-R241-00000-00&amp;context=" TargetMode="External" /><Relationship Id="rId36" Type="http://schemas.openxmlformats.org/officeDocument/2006/relationships/hyperlink" Target="https://advance.lexis.com/api/document?collection=statutes-legislation&amp;id=urn:contentItem:4YF7-GT61-NRF4-454S-00000-00&amp;context=" TargetMode="External" /><Relationship Id="rId37" Type="http://schemas.openxmlformats.org/officeDocument/2006/relationships/hyperlink" Target="https://advance.lexis.com/api/document?collection=administrative-codes&amp;id=urn:contentItem:5KS0-F610-008H-02VG-00000-00&amp;context=" TargetMode="External" /><Relationship Id="rId38" Type="http://schemas.openxmlformats.org/officeDocument/2006/relationships/hyperlink" Target="https://advance.lexis.com/api/document?collection=statutes-legislation&amp;id=urn:contentItem:4YF7-GRV1-NRF4-41PC-00000-00&amp;context=" TargetMode="External" /><Relationship Id="rId39" Type="http://schemas.openxmlformats.org/officeDocument/2006/relationships/hyperlink" Target="https://advance.lexis.com/api/document?collection=administrative-codes&amp;id=urn:contentItem:5S7T-7HS0-008H-02V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GP-00000-00&amp;context=" TargetMode="External" /><Relationship Id="rId41" Type="http://schemas.openxmlformats.org/officeDocument/2006/relationships/hyperlink" Target="https://advance.lexis.com/api/document?collection=administrative-codes&amp;id=urn:contentItem:5KS0-F5W0-008H-023P-00000-00&amp;context=" TargetMode="External" /><Relationship Id="rId42" Type="http://schemas.openxmlformats.org/officeDocument/2006/relationships/hyperlink" Target="https://advance.lexis.com/api/document?collection=administrative-codes&amp;id=urn:contentItem:5R5H-J1H0-008H-043K-00000-00&amp;context=" TargetMode="External" /><Relationship Id="rId43" Type="http://schemas.openxmlformats.org/officeDocument/2006/relationships/hyperlink" Target="https://advance.lexis.com/api/document?collection=administrative-codes&amp;id=urn:contentItem:5KS0-F5W0-008H-024V-00000-00&amp;context=" TargetMode="External" /><Relationship Id="rId44" Type="http://schemas.openxmlformats.org/officeDocument/2006/relationships/hyperlink" Target="https://advance.lexis.com/api/document?collection=administrative-codes&amp;id=urn:contentItem:5KS0-F600-008H-02PT-00000-00&amp;context=" TargetMode="External" /><Relationship Id="rId45" Type="http://schemas.openxmlformats.org/officeDocument/2006/relationships/hyperlink" Target="https://advance.lexis.com/api/document?collection=administrative-codes&amp;id=urn:contentItem:5KS0-F5W0-008H-025B-00000-00&amp;context=" TargetMode="External" /><Relationship Id="rId46" Type="http://schemas.openxmlformats.org/officeDocument/2006/relationships/hyperlink" Target="https://advance.lexis.com/api/document?collection=administrative-codes&amp;id=urn:contentItem:5HDM-DHF0-008G-Y2NJ-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C0-008H-02S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C0-008H-02SK-00000-00&amp;context=" TargetMode="External" /><Relationship Id="rId51" Type="http://schemas.openxmlformats.org/officeDocument/2006/relationships/hyperlink" Target="http://www.ed.gov/fund/grant/apply/appforms/appforms.html" TargetMode="External" /><Relationship Id="rId52" Type="http://schemas.openxmlformats.org/officeDocument/2006/relationships/hyperlink" Target="https://advance.lexis.com/api/document?collection=administrative-codes&amp;id=urn:contentItem:5GMB-DPB0-008H-0272-00000-00&amp;context=" TargetMode="External" /><Relationship Id="rId53" Type="http://schemas.openxmlformats.org/officeDocument/2006/relationships/hyperlink" Target="https://advance.lexis.com/api/document?collection=administrative-codes&amp;id=urn:contentItem:5GMB-DR10-008H-00WF-00000-00&amp;context=" TargetMode="External" /><Relationship Id="rId54" Type="http://schemas.openxmlformats.org/officeDocument/2006/relationships/hyperlink" Target="https://advance.lexis.com/api/document?collection=administrative-codes&amp;id=urn:contentItem:5GMB-DPB0-008H-02K8-00000-00&amp;context=" TargetMode="External" /><Relationship Id="rId55" Type="http://schemas.openxmlformats.org/officeDocument/2006/relationships/hyperlink" Target="http://www.gpo.gov/fdsys" TargetMode="External" /><Relationship Id="rId56" Type="http://schemas.openxmlformats.org/officeDocument/2006/relationships/hyperlink" Target="http://www.federalregister.gov" TargetMode="Externa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RF-TRW0-006W-8184-00000-00&amp;context=" TargetMode="External" /><Relationship Id="rId8" Type="http://schemas.openxmlformats.org/officeDocument/2006/relationships/hyperlink" Target="http://www.Grants.gov" TargetMode="External" /><Relationship Id="rId9" Type="http://schemas.openxmlformats.org/officeDocument/2006/relationships/hyperlink" Target="https://advance.lexis.com/api/document?collection=administrative-codes&amp;id=urn:contentItem:5399-1890-006W-815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