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30279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094, Monday, May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30279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Investing in Innovation Fund--Validation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Investing in Innovation Fund--Validation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84.411B (Validation Grants).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Investing in Innovation Fund (i3), established under section 14007 of the American Recovery and Reinvestment Act of 2009 (ARRA), provides funding to support (1) local educational agencies (LEAs), and (2) nonprofit organizations in partnership with (a) one or more LEAs or (b) a consortium of schools. The i3 program is designed to generate and validate solutions to persistent educational challenges and to support the expansion of effective solutions to serve substantially larger numbers of students. The central design element of the i3 program is its multi-tier structure that links the amount of funding that an applicant may receive to the quality of the evidence supporting the efficacy of the proposed project. Applicants proposing practices supported by limited evidence can receive relatively small grants that support the development and initial evaluation of promising practices and help to identify new solutions to pressing challenges; applicants proposing practices supported by evidence from rigorous evaluations, such as large randomized controlled trials, can receive sizable grants to support expansion across the country. This structure provides incentives for applicants to build evidence of effectiveness of their proposed projects and to address the barriers to serving more students across schools, districts, and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importantly, all i3 projects are required to generate additional evidence of effectiveness. All i3 grantees must use part of their budgets to conduct independent evaluations (as defined in this notice) of their projects. This requirement ensures that projects funded under the i3 program contribute significantly to improving the information available to practitioners and policymakers about which practices work, for which types of students, and in what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awards three types of grants under this program: "Development" grants, "Validation" grants, and "Scale-up" grants. These grants differ in terms of the level of prior evidence of effectiveness required for consideration of funding, the level of scale the funded project should reach, and, consequently, the amount of funding available to support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invites applications for Validation grants only. The notice inviting applications for Scale-up grants is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notice inviting applications for Development grants </w:t>
      </w:r>
      <w:r>
        <w:rPr>
          <w:rFonts w:ascii="arial" w:eastAsia="arial" w:hAnsi="arial" w:cs="arial"/>
          <w:b/>
          <w:i w:val="0"/>
          <w:strike w:val="0"/>
          <w:noProof w:val="0"/>
          <w:color w:val="000000"/>
          <w:position w:val="0"/>
          <w:sz w:val="20"/>
          <w:u w:val="none"/>
          <w:vertAlign w:val="baseline"/>
        </w:rPr>
        <w:t> [*30280] </w:t>
      </w:r>
      <w:r>
        <w:rPr>
          <w:rFonts w:ascii="arial" w:eastAsia="arial" w:hAnsi="arial" w:cs="arial"/>
          <w:b w:val="0"/>
          <w:i w:val="0"/>
          <w:strike w:val="0"/>
          <w:noProof w:val="0"/>
          <w:color w:val="000000"/>
          <w:position w:val="0"/>
          <w:sz w:val="20"/>
          <w:u w:val="none"/>
          <w:vertAlign w:val="baseline"/>
        </w:rPr>
        <w:t xml:space="preserv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25, 2016 </w:t>
      </w:r>
      <w:r>
        <w:rPr>
          <w:rFonts w:ascii="arial" w:eastAsia="arial" w:hAnsi="arial" w:cs="arial"/>
          <w:b w:val="0"/>
          <w:i/>
          <w:strike w:val="0"/>
          <w:noProof w:val="0"/>
          <w:color w:val="000000"/>
          <w:position w:val="0"/>
          <w:sz w:val="20"/>
          <w:u w:val="none"/>
          <w:vertAlign w:val="baseline"/>
        </w:rPr>
        <w:t>(81 FR 24070)</w:t>
      </w:r>
      <w:r>
        <w:rPr>
          <w:rFonts w:ascii="arial" w:eastAsia="arial" w:hAnsi="arial" w:cs="arial"/>
          <w:b w:val="0"/>
          <w:i w:val="0"/>
          <w:strike w:val="0"/>
          <w:noProof w:val="0"/>
          <w:color w:val="000000"/>
          <w:position w:val="0"/>
          <w:sz w:val="20"/>
          <w:u w:val="none"/>
          <w:vertAlign w:val="baseline"/>
        </w:rPr>
        <w:t xml:space="preserve"> and is available at </w:t>
      </w:r>
      <w:hyperlink r:id="rId8" w:history="1">
        <w:r>
          <w:rPr>
            <w:rFonts w:ascii="arial" w:eastAsia="arial" w:hAnsi="arial" w:cs="arial"/>
            <w:b w:val="0"/>
            <w:i/>
            <w:strike w:val="0"/>
            <w:noProof w:val="0"/>
            <w:color w:val="0077CC"/>
            <w:position w:val="0"/>
            <w:sz w:val="20"/>
            <w:u w:val="single"/>
            <w:vertAlign w:val="baseline"/>
          </w:rPr>
          <w:t>https://www.gpo.gov/fdsys/pkg/FR-2016-04-25/pdf/2016-09436.pdf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provide funding to support expansion of projects supported by moderate evidence of effectiveness (as defined in this notice) to the regional level (as defined in this notice) or to the national level (as defined in this notice). In addition, as Validation projects seek to improve outcomes for students in high need schools, they also generate important information about an intervention's effectiveness and the contexts for which a practice is most effective. We expect that Validation grants will increase practitioners' and policymakers' understanding of the implementation of proven practices, and help identify effective approaches to expanding such practices while also maintaining or increasing their effectiveness across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Validation grantees must evaluate the effectiveness of the i3-supported practice that the project implements and expands. The evaluation of a Validation project must identify the core elements of, and codify, the i3-supported practice that the project implements in order to support adoption or replication by other entities. We also expect that evaluations of Validation grants will be conducted and disaggregated in a variety of contexts and for a variety of students in order to determine the context(s) and population(s) for which the i3-supported practice is most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remind LEAs of the continuing applicability of the provisions of the Individuals with Disabilities Education Act (IDEA) for students who may be served under i3 grants. Any grants in which LEAs participate must be consistent with the rights, protections, and processes established under IDEA for students who are receiving special education and related services or who are in the process of being evaluated to determine their eligibility for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later in this notice, an applicant is required, as a condition of receiving assistance under this program, to make civil rights assurances, including an assurance that its program or activity will comply with section 504 of the Rehabilitation Act of 1973, as amended, and the Department's section 504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prohibit discrimination on the basis of disability. Regardless of whether a student with disabilities is specifically targeted as a "high-need student" (as defined in this notice) in a particular grant application, recipients are required to comply with all legal nondiscrimination requirements, including, but not limited to the obligation to ensure that students with disabilities are not denied access to the benefits of the recipient's program because of their disability. The Department also enforces title II of the Americans with Disabilities Act (ADA), as well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II of the ADA, which prohibit discrimination on the basis of disability by public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title VI and title IX of the Civil Rights Act of 1964 prohibit discrimination on the basis of race, color, and national origin, and sex, respectively. On December 2, 2011, the Departments of Education and Justice jointly issued guidance that explains how educational institutions can promote student diversity or avoid racial isolation within the framework of title VI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consideration of the racial demographics of neighborhoods when drawing assignment zones for schools or through targeted recruiting efforts). The "Guidance on the Voluntary Use of Race to Achieve Diversity and Avoid Racial Isolation in Elementary and Secondary Schools" is available on the Department's Web site at </w:t>
      </w:r>
      <w:hyperlink r:id="rId9" w:history="1">
        <w:r>
          <w:rPr>
            <w:rFonts w:ascii="arial" w:eastAsia="arial" w:hAnsi="arial" w:cs="arial"/>
            <w:b w:val="0"/>
            <w:i/>
            <w:strike w:val="0"/>
            <w:noProof w:val="0"/>
            <w:color w:val="0077CC"/>
            <w:position w:val="0"/>
            <w:sz w:val="20"/>
            <w:u w:val="single"/>
            <w:vertAlign w:val="baseline"/>
          </w:rPr>
          <w:t>http://www2.ed.gov/about/offices/list/ocr/docs/guidance-ese-201111.pdf</w:t>
        </w:r>
      </w:hyperlink>
      <w:r>
        <w:rPr>
          <w:rFonts w:ascii="arial" w:eastAsia="arial" w:hAnsi="arial" w:cs="arial"/>
          <w:b w:val="0"/>
          <w:i w:val="0"/>
          <w:strike w:val="0"/>
          <w:noProof w:val="0"/>
          <w:color w:val="000000"/>
          <w:position w:val="0"/>
          <w:sz w:val="20"/>
          <w:u w:val="none"/>
          <w:vertAlign w:val="baseline"/>
        </w:rPr>
        <w:t>.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both 2013 and 2014, the Departments reiterated the continued viability of this 2011 guidance after two relevant Supreme Court decisions. Those guidance documents may be found at </w:t>
      </w:r>
      <w:hyperlink r:id="rId10" w:history="1">
        <w:r>
          <w:rPr>
            <w:rFonts w:ascii="arial" w:eastAsia="arial" w:hAnsi="arial" w:cs="arial"/>
            <w:b w:val="0"/>
            <w:i/>
            <w:strike w:val="0"/>
            <w:noProof w:val="0"/>
            <w:color w:val="0077CC"/>
            <w:position w:val="0"/>
            <w:sz w:val="20"/>
            <w:u w:val="single"/>
            <w:vertAlign w:val="baseline"/>
          </w:rPr>
          <w:t>www.ed.gov/ocr/letters/colleague-201309.pdf</w:t>
        </w:r>
      </w:hyperlink>
      <w:r>
        <w:rPr>
          <w:rFonts w:ascii="arial" w:eastAsia="arial" w:hAnsi="arial" w:cs="arial"/>
          <w:b w:val="0"/>
          <w:i/>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www.ed.gov/ocr/docs/dcl-qa-201309.pdf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www.ed.gov/ocr/letters/colleague-201405-schuette-guidance.pdf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its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i3 program seeks to improve the academic achievement of students in high-need schools by identifying and scaling promising solutions to pressing challenges in kindergarten through grade 12 (K-12). Now in its seventh year, the i3 program has invested over $ 1.3 billion--matched by over $ 200 million in private sector resources--in a portfolio of solutions and rigorous evaluations of several approaches that address critical challenges in education. When selecting the priorities for a given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considers several factors including policy priorities, the need for new solutions in a particular priority area, the extent of the existing evidence supporting effective practices in a particular priority area, whether other available funding exists for a particular priority area, and the results and lessons learned from funded projects from prior i3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This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include specific priorities for students with disabilities and English learners, as the program has successfully funded a range of projects serving these high-need populations under i3's broader priorities in previous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Additionally, all applicants continue to be required to serve high-need student populations, and we continue to encourage applicants to consider how their proposed projects could serve students with disabilities or English learners. Applicants are encouraged to design an evaluation that will report findings on English learners, students with disabilities, and other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i3 grantees are expected to improve academic outcomes for high-need students (as defined in this notice). The FY 2016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four absolute priorities. These absolute priorities are intended to address persistent challenges in public education for which there are solutions that are supported by rigorous evidence. We are particularly interested in supporting such efforts in rural areas. As such, and consistent with the past three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applicants applying under the Serving Rural Communities priority (Absolute Priority 4) must also address one of the other three absolute priorities established for the FY 2016 i3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structure has resulted in a strong set of grantees that are addressing the unique challenges in rural communities. We also include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novice i3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include an absolute priority for projects designed to implement, and support the transition to, internationally benchmarked, college- and career-ready academic content standards and associated assessments. Many States have raised the expectations for what schools should teach and their students should learn and do across the K-12 grade span by adopting new, more rigorous standards and assessments aligned to the demands of college and careers. Emerging research confirms that these exams are aligned to more rigorous standards. n2 Educators are now faced with the important task of effectively implementing these higher standards and ensuring their students are adequately prepared for the associated assessments in order to ensure that all students are ready for </w:t>
      </w:r>
      <w:r>
        <w:rPr>
          <w:rFonts w:ascii="arial" w:eastAsia="arial" w:hAnsi="arial" w:cs="arial"/>
          <w:b/>
          <w:i w:val="0"/>
          <w:strike w:val="0"/>
          <w:noProof w:val="0"/>
          <w:color w:val="000000"/>
          <w:position w:val="0"/>
          <w:sz w:val="20"/>
          <w:u w:val="none"/>
          <w:vertAlign w:val="baseline"/>
        </w:rPr>
        <w:t> [*30281] </w:t>
      </w:r>
      <w:r>
        <w:rPr>
          <w:rFonts w:ascii="arial" w:eastAsia="arial" w:hAnsi="arial" w:cs="arial"/>
          <w:b w:val="0"/>
          <w:i w:val="0"/>
          <w:strike w:val="0"/>
          <w:noProof w:val="0"/>
          <w:color w:val="000000"/>
          <w:position w:val="0"/>
          <w:sz w:val="20"/>
          <w:u w:val="none"/>
          <w:vertAlign w:val="baseline"/>
        </w:rPr>
        <w:t xml:space="preserve"> post-secondary opportunities and their careers. Furthermore, throughout this continuing transition to higher standards and new assessments, schools and school districts need to continue to develop evidence-based approaches to increase the rigor of teaching and learning across various academic settings. For example, efforts are underway in districts across the country to provide teachers and school leaders with rich, student-specific information based on formative and summative assessments to help educators understand why students might be struggling--thereby enabling them to better align their subsequent instruction. Through this priority, the Department seeks to invest in strategies that leverage data and results from internationally benchmarked, college- and career-ready assessments to inform instruction and, ultimately, to support and improve student achievement.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Doorey, N. and Polikoff, M. Evaluating the Content and Quality of Next Generation Assessments (2016). Washington, DC: Thomas Fordham Institute. Available at: </w:t>
      </w:r>
      <w:hyperlink r:id="rId13" w:history="1">
        <w:r>
          <w:rPr>
            <w:rFonts w:ascii="arial" w:eastAsia="arial" w:hAnsi="arial" w:cs="arial"/>
            <w:b w:val="0"/>
            <w:i/>
            <w:strike w:val="0"/>
            <w:noProof w:val="0"/>
            <w:color w:val="0077CC"/>
            <w:position w:val="0"/>
            <w:sz w:val="20"/>
            <w:u w:val="single"/>
            <w:vertAlign w:val="baseline"/>
          </w:rPr>
          <w:t>http://edex.s3-us-west-2.amazonaws.com/%2802.09%20-%20Final%20Published%29%20Evaluating%20the%20Content%20and%20Quality%20of%20Next%20Generation%20Assessments.pdf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include an absolute priority for projects promoting science, technology, engineering and mathematics (STEM) education. Ensuring that all students can access and excel in STEM fields--which includes coding and computer science--is essential to meeting the needs of our Nation's economy and to our future prosperity. n3 For example, the President highlights computer science specifically in his Computer Science for All Initiative. n4 Careers in STEM fields are growing, as are the knowledge and skills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succeed in these specialized jobs. n5 Recent Bureau of Labor Statistics data shows that, between 2010 and 2020, employment in STEM occupations is expected to expand faster than employment in non-STEM occupations (by 17 versus 14 percent). n6 Also, by 2018, 51 percent of STEM jobs are projected to be in computer science-related fields. n7 Moreover, STEM-related skills, such as data analysis and computational and technical literacy, are relevant to a wide array of postsecondary educational and professional pursuits. The Department seeks to provide students with increased access to rigorous and engaging STEM programs and instruction grounded in authentic STEM experiences (as defined in this notice), in both formal and informal learning settings, and resulting in improved STEM-related academic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Langdon, D., McKittrick, G., Beede, D., Khan, B., and Doms, M. U.S. Department of Commerce Economics and Statistics Administration. STEM: Good Jobs Now and for the Future (July 2011). ESA Issue Brief #03-11. Available at: </w:t>
      </w:r>
      <w:hyperlink r:id="rId14" w:history="1">
        <w:r>
          <w:rPr>
            <w:rFonts w:ascii="arial" w:eastAsia="arial" w:hAnsi="arial" w:cs="arial"/>
            <w:b w:val="0"/>
            <w:i/>
            <w:strike w:val="0"/>
            <w:noProof w:val="0"/>
            <w:color w:val="0077CC"/>
            <w:position w:val="0"/>
            <w:sz w:val="20"/>
            <w:u w:val="single"/>
            <w:vertAlign w:val="baseline"/>
          </w:rPr>
          <w:t>www.esa.doc.gov/sites/default/files/stemfinalyjuly14_1.pdf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Smith, Megan. Computer Science for All (January 2016). </w:t>
      </w:r>
      <w:hyperlink r:id="rId15" w:history="1">
        <w:r>
          <w:rPr>
            <w:rFonts w:ascii="arial" w:eastAsia="arial" w:hAnsi="arial" w:cs="arial"/>
            <w:b w:val="0"/>
            <w:i/>
            <w:strike w:val="0"/>
            <w:noProof w:val="0"/>
            <w:color w:val="0077CC"/>
            <w:position w:val="0"/>
            <w:sz w:val="20"/>
            <w:u w:val="single"/>
            <w:vertAlign w:val="baseline"/>
          </w:rPr>
          <w:t>https://www.whitehouse.gov/blog/2016/01/30/computer-science-all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Chairman's Staff of the Joint Economic Committee. Calculations using data from the Bureau of Labor Statistics. Employment Projections: 2010-20. Table 1.7 Occupational Employment and Job Openings Data, Projected 2010-20, and Worker Characteristics, 2010. February 2012. Available at: </w:t>
      </w:r>
      <w:hyperlink r:id="rId16" w:history="1">
        <w:r>
          <w:rPr>
            <w:rFonts w:ascii="arial" w:eastAsia="arial" w:hAnsi="arial" w:cs="arial"/>
            <w:b w:val="0"/>
            <w:i/>
            <w:strike w:val="0"/>
            <w:noProof w:val="0"/>
            <w:color w:val="0077CC"/>
            <w:position w:val="0"/>
            <w:sz w:val="20"/>
            <w:u w:val="single"/>
            <w:vertAlign w:val="baseline"/>
          </w:rPr>
          <w:t>http://iedse.org/temp/wp-content/uploads/2015/02/www.iedse_.org_documents_STEM-Education-Preparing-for-the-Jobs-of-the-Future-.pdf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the purposes of this calculation, STEM occupations are defined as in the U.S. Department of Commerce's Economics and Statistics Administration report, STEM: Good Jobs Now and for the Future. ESA Issue Brief #03-11. July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Chairman's Staff of the Joint Economic Committee. Calculations using data from the Bureau of Labor Statistics. Employment Projections: 2010-20. Table 1.7 Occupational Employment and Job Openings Data, Projected 2010-20, and Worker Characteristics, 2010. February 2012. Available at: </w:t>
      </w:r>
      <w:hyperlink r:id="rId17" w:history="1">
        <w:r>
          <w:rPr>
            <w:rFonts w:ascii="arial" w:eastAsia="arial" w:hAnsi="arial" w:cs="arial"/>
            <w:b w:val="0"/>
            <w:i/>
            <w:strike w:val="0"/>
            <w:noProof w:val="0"/>
            <w:color w:val="0077CC"/>
            <w:position w:val="0"/>
            <w:sz w:val="20"/>
            <w:u w:val="single"/>
            <w:vertAlign w:val="baseline"/>
          </w:rPr>
          <w:t>http://bls.gov/emp/</w:t>
        </w:r>
      </w:hyperlink>
      <w:r>
        <w:rPr>
          <w:rFonts w:ascii="arial" w:eastAsia="arial" w:hAnsi="arial" w:cs="arial"/>
          <w:b w:val="0"/>
          <w:i w:val="0"/>
          <w:strike w:val="0"/>
          <w:noProof w:val="0"/>
          <w:color w:val="000000"/>
          <w:position w:val="0"/>
          <w:sz w:val="20"/>
          <w:u w:val="none"/>
          <w:vertAlign w:val="baseline"/>
        </w:rPr>
        <w:t>. For the purposes of this calculation, STEM occupations are defined as in the U.S. Department of Commerce's Economics and Statistics Administration report, STEM: Good Jobs Now and for the Future. ESA Issue Brief #03-11. July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Carnevale, A., Smith, N., and Melton, M. Center on Education and the Workforce, Georgetown University. Science Technology Engineering Mathematics (2014). Available at: </w:t>
      </w:r>
      <w:hyperlink r:id="rId18" w:history="1">
        <w:r>
          <w:rPr>
            <w:rFonts w:ascii="arial" w:eastAsia="arial" w:hAnsi="arial" w:cs="arial"/>
            <w:b w:val="0"/>
            <w:i/>
            <w:strike w:val="0"/>
            <w:noProof w:val="0"/>
            <w:color w:val="0077CC"/>
            <w:position w:val="0"/>
            <w:sz w:val="20"/>
            <w:u w:val="single"/>
            <w:vertAlign w:val="baseline"/>
          </w:rPr>
          <w:t>https://cew.georgetown.edu/wp-content/uploads/2014/11/stem-complete.pdf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include an absolute priority focused on improving low-performing schools. The Department looks to support whole-school models and strategies that lead to significant and sustained improvement in individual student performance and overall school performance and culture. Thousands of schools do not adequately prepare students to achieve at grade level and struggle to overcome the gaps in student performance across socioeconomic and racial groups. n8 Research shows that the greatest portion of the gap in performance between Black and White students comes from the differences within a school as opposed to differences across school settings. n9 Furthermore, while graduation rates have been steadily improving nationwide, in 17 States, less than 70 percent of students from economically disadvantaged backgrounds graduate from high school. n10 While considerable attention has been paid to these schools in recent years, the pace of progress continues to be slow and school turnaround successes tend to be isolated rather than systematic. Whole-school models that successfully transform school culture and student outcomes can be comprised of a range of strategies, such as harnessing teacher leadership, n11 creating small learning communities, academic interventions, and school redesign. Overall, we seek to support projects that work across schools and districts in multiple regions to transform the learning environment by instituting a range of evidence-based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PISA Results from 2012. Country Note: United States. </w:t>
      </w:r>
      <w:hyperlink r:id="rId19" w:history="1">
        <w:r>
          <w:rPr>
            <w:rFonts w:ascii="arial" w:eastAsia="arial" w:hAnsi="arial" w:cs="arial"/>
            <w:b w:val="0"/>
            <w:i/>
            <w:strike w:val="0"/>
            <w:noProof w:val="0"/>
            <w:color w:val="0077CC"/>
            <w:position w:val="0"/>
            <w:sz w:val="20"/>
            <w:u w:val="single"/>
            <w:vertAlign w:val="baseline"/>
          </w:rPr>
          <w:t>www.oecd.org/pisa/keyfindings/PISA-2012-results-US.pdf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Bohrnstedt, G., Kitmitto, S., Ogut, B., Sherman, D., and Chan, D. (2015). </w:t>
      </w:r>
      <w:r>
        <w:rPr>
          <w:rFonts w:ascii="arial" w:eastAsia="arial" w:hAnsi="arial" w:cs="arial"/>
          <w:b w:val="0"/>
          <w:i/>
          <w:strike w:val="0"/>
          <w:noProof w:val="0"/>
          <w:color w:val="000000"/>
          <w:position w:val="0"/>
          <w:sz w:val="20"/>
          <w:u w:val="none"/>
          <w:vertAlign w:val="baseline"/>
        </w:rPr>
        <w:t>School Composition and the Black-White Achievement Gap</w:t>
      </w:r>
      <w:r>
        <w:rPr>
          <w:rFonts w:ascii="arial" w:eastAsia="arial" w:hAnsi="arial" w:cs="arial"/>
          <w:b w:val="0"/>
          <w:i w:val="0"/>
          <w:strike w:val="0"/>
          <w:noProof w:val="0"/>
          <w:color w:val="000000"/>
          <w:position w:val="0"/>
          <w:sz w:val="20"/>
          <w:u w:val="none"/>
          <w:vertAlign w:val="baseline"/>
        </w:rPr>
        <w:t xml:space="preserve"> (NCES 2015-018). U.S. Department of Education, Washington, DC: National Center for Education Statistics. Retrieved September 24, 2015 from </w:t>
      </w:r>
      <w:hyperlink r:id="rId20" w:history="1">
        <w:r>
          <w:rPr>
            <w:rFonts w:ascii="arial" w:eastAsia="arial" w:hAnsi="arial" w:cs="arial"/>
            <w:b w:val="0"/>
            <w:i/>
            <w:strike w:val="0"/>
            <w:noProof w:val="0"/>
            <w:color w:val="0077CC"/>
            <w:position w:val="0"/>
            <w:sz w:val="20"/>
            <w:u w:val="single"/>
            <w:vertAlign w:val="baseline"/>
          </w:rPr>
          <w:t>http://nces.ed.gov/pubsearch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U.S. Department of Education, National Center for Education Statistics (NCES): </w:t>
      </w:r>
      <w:hyperlink r:id="rId21" w:history="1">
        <w:r>
          <w:rPr>
            <w:rFonts w:ascii="arial" w:eastAsia="arial" w:hAnsi="arial" w:cs="arial"/>
            <w:b w:val="0"/>
            <w:i/>
            <w:strike w:val="0"/>
            <w:noProof w:val="0"/>
            <w:color w:val="0077CC"/>
            <w:position w:val="0"/>
            <w:sz w:val="20"/>
            <w:u w:val="single"/>
            <w:vertAlign w:val="baseline"/>
          </w:rPr>
          <w:t>https://nces.ed.gov/ccd/tables/ACGR_RE_and_characteristics_2013-14.asp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School Turnarounds: How Successful Principals Use Teacher Leadership. (March 2016). </w:t>
      </w:r>
      <w:hyperlink r:id="rId22" w:history="1">
        <w:r>
          <w:rPr>
            <w:rFonts w:ascii="arial" w:eastAsia="arial" w:hAnsi="arial" w:cs="arial"/>
            <w:b w:val="0"/>
            <w:i/>
            <w:strike w:val="0"/>
            <w:noProof w:val="0"/>
            <w:color w:val="0077CC"/>
            <w:position w:val="0"/>
            <w:sz w:val="20"/>
            <w:u w:val="single"/>
            <w:vertAlign w:val="baseline"/>
          </w:rPr>
          <w:t>http://publicimpact.com/school-turnarounds-how-successful-principals-use-teacher-leadership/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include an absolute priority for serving rural communities. Students living in rural communities face unique challenges, such as lack of access to specialized courses or college advising. Applicants applying under this priority must also address one of the other three absolute priorities established for the FY 2016 i3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while serving students enrolled in rural local educational agencies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include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 the FY 2016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expand the reach of the i3 program and encourage entities that have not previously received an i3 grant to apply, the Department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novice i3 applicants. A novice i3 applicant is an applicant that has never received a grant under the i3 program. An applicant must identify whether it is a novice applicant when completing the applicant information sheet. Instructions on how to complete the applicant information sheet are included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carefully review all of the requirements in the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section of this notice for instructions on how to demonstrate moderate evidence of effectiveness and for information on the other eligibility, program, and application requirements. In summary, applications must address one of the first three absolute priorities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propose projects designed to implement practices that serve students who are in grades K-12 at some point during the funding period. If an applicant chooses to also address the absolute priority regarding students in rural LEAs, that applicant must also address one of the other three absolute priorities established for the FY 2016 i3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serving students enrolled in rural LEAs (as defined in this notice). Additionally, </w:t>
      </w:r>
      <w:r>
        <w:rPr>
          <w:rFonts w:ascii="arial" w:eastAsia="arial" w:hAnsi="arial" w:cs="arial"/>
          <w:b/>
          <w:i w:val="0"/>
          <w:strike w:val="0"/>
          <w:noProof w:val="0"/>
          <w:color w:val="000000"/>
          <w:position w:val="0"/>
          <w:sz w:val="20"/>
          <w:u w:val="none"/>
          <w:vertAlign w:val="baseline"/>
        </w:rPr>
        <w:t> [*30282] </w:t>
      </w:r>
      <w:r>
        <w:rPr>
          <w:rFonts w:ascii="arial" w:eastAsia="arial" w:hAnsi="arial" w:cs="arial"/>
          <w:b w:val="0"/>
          <w:i w:val="0"/>
          <w:strike w:val="0"/>
          <w:noProof w:val="0"/>
          <w:color w:val="000000"/>
          <w:position w:val="0"/>
          <w:sz w:val="20"/>
          <w:u w:val="none"/>
          <w:vertAlign w:val="baseline"/>
        </w:rPr>
        <w:t xml:space="preserve"> applicants must be able to show moderate evidence of effectiveness for the proposed process, product, strategy, or practice included in their applications. To meet the eligibility requirement regarding the applicant's record of improvement, an applicant must provide, in its application, sufficient supporting data or other information to allow the Department to determine whether the applicant has met the eligibility requirements. Note that, to address the statutory eligibility requirements in paragraphs (a)(1) or (2), and (b) of the statutory eligibility requirements (provided in the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section), applicants must provide data that demonstrate a change due to the work of the applicant with an LEA or schools. In other words, applicants must provide data for at least two definitive points in time when addressing this requirement in Appendix C of their applications. Additional information for this requirement can be found under the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i3 program includes a statutory requirement for a private-sector match for all i3 grantees. For Validation grants, an applicant must obtain matching funds or in-kind donations from the private sector equal to at least 10 percent of its grant award. Each highest-rated application, as identified by the Department following peer review of the applications, must submit evidence of at least 50 percent of the required private-sector match prior to the awarding of an i3 grant. An applicant must provide evidence of the remaining 50 percent of the required private-sector match no later than three months after the project start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the FY 2016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three months after January 1, 2017, or by April 1, 2017). The grant will be terminated if the grantee does not secure its private-sector match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includes selection criteria for the FY 2016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are designed to ensure that applications selected for funding have the potential to generate substantial improvements in student achievement (and other key outcomes) and include well-articulated plans for the implementation and evaluation of the proposed projects. Applicants should review the selection criteria and submission instructions carefully to ensure their applications address this year's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entity that submits an application for a Validation grant should include the following information in its application: An estimate of the number of students to be served by the project; evidence of the applicant's ability to implement and appropriately evaluate the proposed project; and information about its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management capacity, financial resources, and qualified personnel) to implement the project at a national or regional level, working directly or through partners. We recognize that LEAs are not typically responsible for taking their practices, strategies, or programs to scale; however, all applicants can and should partner with others to disseminate their effective practices, strategies and programs and take them to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screen applications that are submitted for Validation grants in accordance with the requirements in this notice and determine which applications meet the eligibility and other requirements. Peer reviewers will review all applications for Validation grants that are submitted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note, however, that we may screen for eligibility at multiple points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including before and after peer review; applicants that are determined to be ineligible will not receive a grant award regardless of peer reviewer scores or comments. If we determine that a Validation grant application is not supported by moderate evidence of effectiveness, or that the applicant does not demonstrate the required prior record of improvement, or does not meet any other i3 requirement, the application will not be considered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on December 10, 2015, the Every Student Succeeds Act (ESSA), which reauthorized the Elementary and Secondary Education Act of 1965, was signed into law. ESSA establishes the Education Innovation and Research Program (EIR), a new program that builds on the work led by the i3 program and its grantees. Accordingly, this FY 2016 i3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the final i3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current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Pending congressional appropriations, the Department will launch the first EIR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four absolute priorities and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Absolute Priorities 1 and 2 are from the Department's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23"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Absolute Priorities 3 and 4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are from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2013 </w:t>
      </w:r>
      <w:r>
        <w:rPr>
          <w:rFonts w:ascii="arial" w:eastAsia="arial" w:hAnsi="arial" w:cs="arial"/>
          <w:b w:val="0"/>
          <w:i/>
          <w:strike w:val="0"/>
          <w:noProof w:val="0"/>
          <w:color w:val="000000"/>
          <w:position w:val="0"/>
          <w:sz w:val="20"/>
          <w:u w:val="none"/>
          <w:vertAlign w:val="baseline"/>
        </w:rPr>
        <w:t>(78 FR 18681)</w:t>
      </w:r>
      <w:r>
        <w:rPr>
          <w:rFonts w:ascii="arial" w:eastAsia="arial" w:hAnsi="arial" w:cs="arial"/>
          <w:b w:val="0"/>
          <w:i w:val="0"/>
          <w:strike w:val="0"/>
          <w:noProof w:val="0"/>
          <w:color w:val="000000"/>
          <w:position w:val="0"/>
          <w:sz w:val="20"/>
          <w:u w:val="none"/>
          <w:vertAlign w:val="baseline"/>
        </w:rPr>
        <w:t xml:space="preserve"> (2013 i3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24"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one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address one of the first four absolute priorities. An applicant that addresses Absolute Priority 4, Serving Rural Communities, must also address one of the first three absolute priorities. Because applications will be rank ordered by absolute priority, applicants must clearly identify the specific absolute priority that the proposed project addresses. Applications submitted under Absolute Priority 4 will be ranked with other applications under Absolute Priority 4 and not included in the ranking for the additional priority that the applicant identified. This design helps us ensure that applications under Absolute Priority 4 receive an "apples to apples" comparison with other applicants addressing the Serving Rural Communities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1--Implementing Internationally Benchmarked College- and Career-Ready Standards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support the implementation of, and transition to, internationally benchmarked college- and career-ready standards and assessments, including developing and implementing strategies that use the standards and information from assessments to inform classroom practices that meet the needs of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2--Promoting Science, Technology, Engineering, and Mathematics (STEM)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improve Student Achievement or other related outcomes by providing students with increased access to rigorous and engaging STEM coursework and Authentic STEM Experiences (as defined in this notice) that may be integrated across multiple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3--Improving Low-Performing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funding to projects that address designing whole-school models and implementing processes that lead to significant and sustained improvement </w:t>
      </w:r>
      <w:r>
        <w:rPr>
          <w:rFonts w:ascii="arial" w:eastAsia="arial" w:hAnsi="arial" w:cs="arial"/>
          <w:b/>
          <w:i w:val="0"/>
          <w:strike w:val="0"/>
          <w:noProof w:val="0"/>
          <w:color w:val="000000"/>
          <w:position w:val="0"/>
          <w:sz w:val="20"/>
          <w:u w:val="none"/>
          <w:vertAlign w:val="baseline"/>
        </w:rPr>
        <w:t> [*30283] </w:t>
      </w:r>
      <w:r>
        <w:rPr>
          <w:rFonts w:ascii="arial" w:eastAsia="arial" w:hAnsi="arial" w:cs="arial"/>
          <w:b w:val="0"/>
          <w:i w:val="0"/>
          <w:strike w:val="0"/>
          <w:noProof w:val="0"/>
          <w:color w:val="000000"/>
          <w:position w:val="0"/>
          <w:sz w:val="20"/>
          <w:u w:val="none"/>
          <w:vertAlign w:val="baseline"/>
        </w:rPr>
        <w:t xml:space="preserve"> in individual student performance and overall school performance and culture. These models may incorporate such strategies as providing strong school leadership; strengthening the instructional program; embedding professional development that provides teachers with frequent feedback to increase the rigor and effectiveness of their instructional practice; redesigning the school day, week, or year; using data to inform instruction and improvement; establishing a school environment that promotes a culture of high expectations; addressing non-academic factors that affect student achievement; and providing ongoing mechanisms for parent and family engagement.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requirements related to Priority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 project must serve schools among (1) the lowest-performing schools in the State on academic performance measures; (2) schools in the State with the largest within-school performance gaps between student subgroups described in section 1111(b)(2) of the ESEA; or (3) secondary schools in the State with the lowest graduation rate over a number of years or the largest within-school gaps in graduation rates between student subgroups described in section 1111(b)(2) of the ESEA. Additionally, projects funded under this priority must complement the broader turnaround efforts of the school(s), LEA(s), or State(s) where the projects will be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4--Serving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funding to projects that address one of the absolute priorities established for the FY 2016 Validation i3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under which the majority of students to be served are enrolled in rural local educational agencies (as defined in this notice).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24"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three additional points to applications that meet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priority 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Priority--Supporting Novice i3 Applicants (0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applicants that have never directly received a grant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"authentic STEM experiences" is from the Supplemental Priorities. The definitions of "large sample," "logic model," "moderate evidence of effectiveness," "multi-site sample," "national level," "quasi-experimental design study," "randomized controlled trial," "regional level," "relevant outcome," and "What Works Clearinghouse (WWC) Evidence Standards" are from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All other definitions are from the 2013 i3 NFP. We may apply these definitions in any year in which this program is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Authentic STEM experiences</w:t>
      </w:r>
      <w:r>
        <w:rPr>
          <w:rFonts w:ascii="arial" w:eastAsia="arial" w:hAnsi="arial" w:cs="arial"/>
          <w:b w:val="0"/>
          <w:i w:val="0"/>
          <w:strike w:val="0"/>
          <w:noProof w:val="0"/>
          <w:color w:val="000000"/>
          <w:position w:val="0"/>
          <w:sz w:val="20"/>
          <w:u w:val="none"/>
          <w:vertAlign w:val="baseline"/>
        </w:rPr>
        <w:t xml:space="preserve"> means laboratory, research-based, or experiential learning opportunities in a STEM (science, technology, engineering, and mathematics) subject in informal or formal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Consortium of schools</w:t>
      </w:r>
      <w:r>
        <w:rPr>
          <w:rFonts w:ascii="arial" w:eastAsia="arial" w:hAnsi="arial" w:cs="arial"/>
          <w:b w:val="0"/>
          <w:i w:val="0"/>
          <w:strike w:val="0"/>
          <w:noProof w:val="0"/>
          <w:color w:val="000000"/>
          <w:position w:val="0"/>
          <w:sz w:val="20"/>
          <w:u w:val="none"/>
          <w:vertAlign w:val="baseline"/>
        </w:rPr>
        <w:t xml:space="preserve"> means two or more public elementary or secondary schools acting collaboratively for the purpose of applying for and implementing an i3 grant jointly with an eligible nonprofit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is defined by a school's LEA in a manner consistent with the corresponding State's Teacher Equity Plan, as required by section 1111(b)(8)(C) of the ESEA. The applicant must provide, in its i3 application, the definition(s)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w:t>
      </w:r>
      <w:r>
        <w:rPr>
          <w:rFonts w:ascii="arial" w:eastAsia="arial" w:hAnsi="arial" w:cs="arial"/>
          <w:b w:val="0"/>
          <w:i w:val="0"/>
          <w:strike w:val="0"/>
          <w:noProof w:val="0"/>
          <w:color w:val="000000"/>
          <w:position w:val="0"/>
          <w:sz w:val="20"/>
          <w:u w:val="none"/>
          <w:vertAlign w:val="baseline"/>
        </w:rPr>
        <w:t xml:space="preserve"> means a student at risk of educational failure or otherwise in need of special assistance and support, such as students who are living in poverty, who attend high-minority schools (as defined in this notice),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school graduation rate</w:t>
      </w:r>
      <w:r>
        <w:rPr>
          <w:rFonts w:ascii="arial" w:eastAsia="arial" w:hAnsi="arial" w:cs="arial"/>
          <w:b w:val="0"/>
          <w:i w:val="0"/>
          <w:strike w:val="0"/>
          <w:noProof w:val="0"/>
          <w:color w:val="000000"/>
          <w:position w:val="0"/>
          <w:sz w:val="20"/>
          <w:u w:val="none"/>
          <w:vertAlign w:val="baseline"/>
        </w:rPr>
        <w:t xml:space="preserve"> means a four-year adjusted cohort graduation rate consistent with </w:t>
      </w:r>
      <w:hyperlink r:id="rId26" w:history="1">
        <w:r>
          <w:rPr>
            <w:rFonts w:ascii="arial" w:eastAsia="arial" w:hAnsi="arial" w:cs="arial"/>
            <w:b w:val="0"/>
            <w:i/>
            <w:strike w:val="0"/>
            <w:noProof w:val="0"/>
            <w:color w:val="0077CC"/>
            <w:position w:val="0"/>
            <w:sz w:val="20"/>
            <w:u w:val="single"/>
            <w:vertAlign w:val="baseline"/>
          </w:rPr>
          <w:t>34 CFR 200.19(b)(1)</w:t>
        </w:r>
      </w:hyperlink>
      <w:r>
        <w:rPr>
          <w:rFonts w:ascii="arial" w:eastAsia="arial" w:hAnsi="arial" w:cs="arial"/>
          <w:b w:val="0"/>
          <w:i w:val="0"/>
          <w:strike w:val="0"/>
          <w:noProof w:val="0"/>
          <w:color w:val="000000"/>
          <w:position w:val="0"/>
          <w:sz w:val="20"/>
          <w:u w:val="none"/>
          <w:vertAlign w:val="baseline"/>
        </w:rPr>
        <w:t xml:space="preserve"> and may also include an extended-year adjusted cohort graduation rate consistent with </w:t>
      </w:r>
      <w:hyperlink r:id="rId26" w:history="1">
        <w:r>
          <w:rPr>
            <w:rFonts w:ascii="arial" w:eastAsia="arial" w:hAnsi="arial" w:cs="arial"/>
            <w:b w:val="0"/>
            <w:i/>
            <w:strike w:val="0"/>
            <w:noProof w:val="0"/>
            <w:color w:val="0077CC"/>
            <w:position w:val="0"/>
            <w:sz w:val="20"/>
            <w:u w:val="single"/>
            <w:vertAlign w:val="baseline"/>
          </w:rPr>
          <w:t>34 CFR 200.19(b)(1)(v)</w:t>
        </w:r>
      </w:hyperlink>
      <w:r>
        <w:rPr>
          <w:rFonts w:ascii="arial" w:eastAsia="arial" w:hAnsi="arial" w:cs="arial"/>
          <w:b w:val="0"/>
          <w:i w:val="0"/>
          <w:strike w:val="0"/>
          <w:noProof w:val="0"/>
          <w:color w:val="000000"/>
          <w:position w:val="0"/>
          <w:sz w:val="20"/>
          <w:u w:val="none"/>
          <w:vertAlign w:val="baseline"/>
        </w:rPr>
        <w:t xml:space="preserve"> if the State in which the proposed project is implemented has been approved by the Secretary to use such a rate under title 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that the evaluation is designed and carried out independent of, but in coordination with, any employees of the entities who develop a process, product, strategy, or practice and are implementing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Innovation</w:t>
      </w:r>
      <w:r>
        <w:rPr>
          <w:rFonts w:ascii="arial" w:eastAsia="arial" w:hAnsi="arial" w:cs="arial"/>
          <w:b w:val="0"/>
          <w:i w:val="0"/>
          <w:strike w:val="0"/>
          <w:noProof w:val="0"/>
          <w:color w:val="000000"/>
          <w:position w:val="0"/>
          <w:sz w:val="20"/>
          <w:u w:val="none"/>
          <w:vertAlign w:val="baseline"/>
        </w:rPr>
        <w:t xml:space="preserve"> means a process, product, strategy, or practice that improves (or is expected to improve) significantly upon the outcomes reached with status quo options and that can ultimately reach widespread effective usage.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that (i) There is at least one study of the effectiveness of the process, product, strategy, or practice being proposed that meets the What Works Clearinghouse Evidence Standards without reservations, found a statistically significant favorable impact on a relevant outcome (as defined in this notice)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 (ii) There is at least one study of the effectiveness of the process, product, strategy, or practice being proposed that meets the What Works Clearinghouse Evidence Standards with reservations, found a statistically significant favorable impact on a relevant outcome (as defined in this notice)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(as defined in this notice) and a multi-site sample (as defined in this notice). (Note: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be effective in a wide variety of communities,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w:t>
      </w:r>
      <w:r>
        <w:rPr>
          <w:rFonts w:ascii="arial" w:eastAsia="arial" w:hAnsi="arial" w:cs="arial"/>
          <w:b/>
          <w:i w:val="0"/>
          <w:strike w:val="0"/>
          <w:noProof w:val="0"/>
          <w:color w:val="000000"/>
          <w:position w:val="0"/>
          <w:sz w:val="20"/>
          <w:u w:val="none"/>
          <w:vertAlign w:val="baseline"/>
        </w:rPr>
        <w:t> [*30284] </w:t>
      </w:r>
      <w:r>
        <w:rPr>
          <w:rFonts w:ascii="arial" w:eastAsia="arial" w:hAnsi="arial" w:cs="arial"/>
          <w:b w:val="0"/>
          <w:i w:val="0"/>
          <w:strike w:val="0"/>
          <w:noProof w:val="0"/>
          <w:color w:val="000000"/>
          <w:position w:val="0"/>
          <w:sz w:val="20"/>
          <w:u w:val="none"/>
          <w:vertAlign w:val="baseline"/>
        </w:rPr>
        <w:t xml:space="preserve"> individuals with disabilities, English learners, and individuals of each gender).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means an entity that meets the definition of "nonprofit" under </w:t>
      </w:r>
      <w:hyperlink r:id="rId2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or an institution of higher education as defined by section 101(a) of the Higher Education Act of 1965,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serve a variety of communities within a State or multiple States,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 For an LEA-based project to be considered a regional-level project, a process, product, strategy, or practice must serve students in more than one LEA, unless the process, product, strategy, or practice is implemented in a State in which the State educational agency is the sole educational agency for all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means a local educational agency (LEA) that is eligible under the Small Rural School Achievement (SRSA) program or the Rural and Low-Income School (RLIS) program authorized under title VI, part B of the ESEA. Eligible applicants may determine whether a particular LEA is eligible for these programs by referring to information on the Department's Web site at </w:t>
      </w:r>
      <w:hyperlink r:id="rId27" w:history="1">
        <w:r>
          <w:rPr>
            <w:rFonts w:ascii="arial" w:eastAsia="arial" w:hAnsi="arial" w:cs="arial"/>
            <w:b w:val="0"/>
            <w:i/>
            <w:strike w:val="0"/>
            <w:noProof w:val="0"/>
            <w:color w:val="0077CC"/>
            <w:position w:val="0"/>
            <w:sz w:val="20"/>
            <w:u w:val="single"/>
            <w:vertAlign w:val="baseline"/>
          </w:rPr>
          <w:t>http://www2.ed.gov/nclb/freedom/local/reap.html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grades and subjects in which assessments are required under ESEA section 1111(b)(3): (1) A student's score on such assessments and may include (2) other measures of student learning, such as those described in paragraph (b), provided they are rigorous and comparable across schools within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grades and subjects in which assessments are not required under ESEA section 1111(b)(3): Alternative measures of student learning and performance such as student results on pre-tests, end-of-course tests, and objective performance-based assessments; student learning objectives; student performance on English language proficiency assessments; and other measures of student achievement that are rigorous and comparable across schools within an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growth</w:t>
      </w:r>
      <w:r>
        <w:rPr>
          <w:rFonts w:ascii="arial" w:eastAsia="arial" w:hAnsi="arial" w:cs="arial"/>
          <w:b w:val="0"/>
          <w:i w:val="0"/>
          <w:strike w:val="0"/>
          <w:noProof w:val="0"/>
          <w:color w:val="000000"/>
          <w:position w:val="0"/>
          <w:sz w:val="20"/>
          <w:u w:val="none"/>
          <w:vertAlign w:val="baseline"/>
        </w:rPr>
        <w:t xml:space="preserve"> means the change in student achievement (as defined in this notice) for an individual student between two or more points in time. An applicant may also include other measures that are rigorous and comparable across classrooms.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28"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ARRA, Division A, Section 14007, </w:t>
      </w:r>
      <w:r>
        <w:rPr>
          <w:rFonts w:ascii="arial" w:eastAsia="arial" w:hAnsi="arial" w:cs="arial"/>
          <w:b w:val="0"/>
          <w:i/>
          <w:strike w:val="0"/>
          <w:noProof w:val="0"/>
          <w:color w:val="000000"/>
          <w:position w:val="0"/>
          <w:sz w:val="20"/>
          <w:u w:val="none"/>
          <w:vertAlign w:val="baseline"/>
        </w:rPr>
        <w:t>Public Law 111-5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2013 i3 NFP. (e)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 or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$ 103,100,000.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estimated available funds are the total available for all three types of grants under the i3 program (Development, Validation, and Scale-up grants). Contingent upon the availability of funds and the quality of applications, we may make additional awards in FY 2017 or later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grants: Up to $ 3,000,000.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Up to $ 12,000,000.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Up to $ 20,000,000.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upper limit of the range of awards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$ 12,000,000 for Validation grants) is referred to as the "maximum amount of awards" under Other in section III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grants: $ 3,000,000.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$ 11,500,000.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$ 19,000,000.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grants: 9-11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2-3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0-2 awards.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36-60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Innovations that Improve Achievement for High-Need Students:</w:t>
      </w:r>
      <w:r>
        <w:rPr>
          <w:rFonts w:ascii="arial" w:eastAsia="arial" w:hAnsi="arial" w:cs="arial"/>
          <w:b w:val="0"/>
          <w:i w:val="0"/>
          <w:strike w:val="0"/>
          <w:noProof w:val="0"/>
          <w:color w:val="000000"/>
          <w:position w:val="0"/>
          <w:sz w:val="20"/>
          <w:u w:val="none"/>
          <w:vertAlign w:val="baseline"/>
        </w:rPr>
        <w:t xml:space="preserve"> All grantees must implement practices that are designed to improve student achievement (as defined in this notice) or student growth (as defined in this notice), close achievement gaps, decrease dropout rates, increase high school graduation rates (as defined in this notice), or increase college enrollment and completion rates for high-need students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Innovations that Serve Kindergarten-through-Grade-12 (K-12) Students:</w:t>
      </w:r>
      <w:r>
        <w:rPr>
          <w:rFonts w:ascii="arial" w:eastAsia="arial" w:hAnsi="arial" w:cs="arial"/>
          <w:b w:val="0"/>
          <w:i w:val="0"/>
          <w:strike w:val="0"/>
          <w:noProof w:val="0"/>
          <w:color w:val="000000"/>
          <w:position w:val="0"/>
          <w:sz w:val="20"/>
          <w:u w:val="none"/>
          <w:vertAlign w:val="baseline"/>
        </w:rPr>
        <w:t xml:space="preserve"> All grantees must implement practices that serve students who are in grades K-12 at some point during the funding period. To meet this requirement, projects that serve early learners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infants, toddlers, or preschoolers) must provide services or supports that extend into kindergarten or later years, and projects that serve postsecondary students must provide services or supports during the secondary grades or earlier. </w:t>
      </w:r>
      <w:r>
        <w:rPr>
          <w:rFonts w:ascii="arial" w:eastAsia="arial" w:hAnsi="arial" w:cs="arial"/>
          <w:b/>
          <w:i w:val="0"/>
          <w:strike w:val="0"/>
          <w:noProof w:val="0"/>
          <w:color w:val="000000"/>
          <w:position w:val="0"/>
          <w:sz w:val="20"/>
          <w:u w:val="none"/>
          <w:vertAlign w:val="baseline"/>
        </w:rPr>
        <w:t> [*30285]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Entities eligible to apply for i3 grants include either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partnership between a nonprofit organization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One or more LEAs;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consortium of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Eligibility Requirements:</w:t>
      </w:r>
      <w:r>
        <w:rPr>
          <w:rFonts w:ascii="arial" w:eastAsia="arial" w:hAnsi="arial" w:cs="arial"/>
          <w:b w:val="0"/>
          <w:i w:val="0"/>
          <w:strike w:val="0"/>
          <w:noProof w:val="0"/>
          <w:color w:val="000000"/>
          <w:position w:val="0"/>
          <w:sz w:val="20"/>
          <w:u w:val="none"/>
          <w:vertAlign w:val="baseline"/>
        </w:rPr>
        <w:t xml:space="preserve"> Except as specifically set forth in the </w:t>
      </w:r>
      <w:r>
        <w:rPr>
          <w:rFonts w:ascii="arial" w:eastAsia="arial" w:hAnsi="arial" w:cs="arial"/>
          <w:b w:val="0"/>
          <w:i/>
          <w:strike w:val="0"/>
          <w:noProof w:val="0"/>
          <w:color w:val="000000"/>
          <w:position w:val="0"/>
          <w:sz w:val="20"/>
          <w:u w:val="none"/>
          <w:vertAlign w:val="baseline"/>
        </w:rPr>
        <w:t>Note about Eligibility for an Eligible Applicant that Includes a Nonprofit Organization</w:t>
      </w:r>
      <w:r>
        <w:rPr>
          <w:rFonts w:ascii="arial" w:eastAsia="arial" w:hAnsi="arial" w:cs="arial"/>
          <w:b w:val="0"/>
          <w:i w:val="0"/>
          <w:strike w:val="0"/>
          <w:noProof w:val="0"/>
          <w:color w:val="000000"/>
          <w:position w:val="0"/>
          <w:sz w:val="20"/>
          <w:u w:val="none"/>
          <w:vertAlign w:val="baseline"/>
        </w:rPr>
        <w:t xml:space="preserve"> that follows, to be eligible for an award, an eligible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Have significantly closed the achievement gaps between groups of students described in section 1111(b)(2) of the ESEA (economically disadvantaged students, students from major racial and ethnic groups, students with limited English proficiency, students with disabilities);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Have demonstrated success in significantly increasing student academic achievement for all groups of students described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Have made significant improvements in other areas, such as high school graduation rates (as defined in this notice) or increased recruitment and placement of high-quality teachers and principals, as demonstrated with meaningful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that it has established one or more partnerships with the private sector, which may include philanthropic organizations, and that organizations in the private sector will provide matching funds in order to help bring results to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the case of an eligible applicant that includes a nonprofit organization, provide in the application the names of the LEAs with which the nonprofit organization will partner, or the names of the schools in the consortium with which it will partner. If an eligible applicant that includes a nonprofit organization intends to partner with additional LEAs or schools that are not named in the application, it must describe in the application the demographic and other characteristics of these LEAs and schools and the process it will use to select them.</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entity submitting an application should provide, in Appendix C, under "Other Attachments Form," of its application, information addressing the eligibility requirements described in this section. An applicant must provide, in its application, sufficient supporting data or other information to allow the Department to determine whether the applicant has met the eligibility requirements. Note that, to address the statutory eligibility requirements in paragraphs (a)(1) or (2), and (b), applicants must provide data that demonstrate a change due to the work of the applicant with an LEA or schools. In other words, applicants must provide data for at least two definitive points in time when addressing this requirement in Appendix C of their applications. For further guidance, please refer to the definition of "student achievement" in this notice, and the question and answer Webinar for FY 2016 i3 Scale-up and Validation Applications. Additionally, information on the statutory eligibility requirements can be found on the i3 Web site at </w:t>
      </w:r>
      <w:hyperlink r:id="rId29" w:history="1">
        <w:r>
          <w:rPr>
            <w:rFonts w:ascii="arial" w:eastAsia="arial" w:hAnsi="arial" w:cs="arial"/>
            <w:b w:val="0"/>
            <w:i/>
            <w:strike w:val="0"/>
            <w:noProof w:val="0"/>
            <w:color w:val="0077CC"/>
            <w:position w:val="0"/>
            <w:sz w:val="20"/>
            <w:u w:val="single"/>
            <w:vertAlign w:val="baseline"/>
          </w:rPr>
          <w:t>http://innovation.ed.gov/what-we-do/innovation/investing-in-innovation-i3/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the Department determines that an applicant provided insufficient information in its application, the applicant will not have an opportunity to provide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about LEA Eligibility:</w:t>
      </w:r>
      <w:r>
        <w:rPr>
          <w:rFonts w:ascii="arial" w:eastAsia="arial" w:hAnsi="arial" w:cs="arial"/>
          <w:b w:val="0"/>
          <w:i w:val="0"/>
          <w:strike w:val="0"/>
          <w:noProof w:val="0"/>
          <w:color w:val="000000"/>
          <w:position w:val="0"/>
          <w:sz w:val="20"/>
          <w:u w:val="none"/>
          <w:vertAlign w:val="baseline"/>
        </w:rPr>
        <w:t xml:space="preserve"> For purposes of this program, an LEA is an LEA located within one of the 50 States, the District of Columbia, or the Commonwealth of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about Eligibility for an Eligible Applicant that Includes a Nonprofit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authorizing statute specifies that an eligible applicant that includes a nonprofit organization meets the requirements in paragraphs (a) and (b) of the eligibility requirements for this program if the nonprofit organization has a record of significantly improving student achievement, attainment, or retention. For an eligible applicant that includes a nonprofit organization, the nonprofit organization must demonstrate that it has a record of significantly improving student achievement, attainment, or retention through its record of work with an LEA or schools. Therefore, an eligible applicant that includes a nonprofit organization does not necessarily need to include as a partner for its i3 grant an LEA or a consortium of schools that meets the requirements in paragraphs (a) and (b) of the eligibility requirements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authorizing statute specifies that an eligible applicant that includes a nonprofit organization meets the requirements of paragraph (c) of the eligibility requirements in this notice if the eligible applicant demonstrates that it will meet the requirement for private-sector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To be eligible for an award, an applicant must demonstrate that one or more private-sector organizations, which may include philanthropic organizations, will provide matching funds in order to help bring project results to scale. An eligible Validation applicant must obtain matching funds, or in-kind donations, equal to at least 10 percent of its Federal grant award. The highest-rated eligible applicants must submit evidence of 50 percent of the required private-sector matching funds following the peer review of applications. A Federal i3 award will not be made unless the applicant provides adequate evidence that the 50 percent of the required private-sector match has been committed or the Secretary approves the eligible applicant's request to reduce the matching-level requirement. An applicant must provide evidence of the remaining 50 percent of required private-sector match three months after the project start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may consider decreasing the matching requirement on a case-by-case basis, and only in the most exceptional circumstances. An eligible applicant that anticipates being unable to meet the full amount of the private-sector matching requirement must include in its application a request that the Secretary reduce the matching-level requirement, along with a statement of the basis for the request.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that does not provide a request for a reduction of the matching-level requirement in its application may not submit that request at a later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Secretary establishes the following requirements for the i3 program. These requirements are from the 2013 i3 NFP. We may apply these requirements in any year in which this program is in effect.</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Evidence Standards:</w:t>
      </w:r>
      <w:r>
        <w:rPr>
          <w:rFonts w:ascii="arial" w:eastAsia="arial" w:hAnsi="arial" w:cs="arial"/>
          <w:b w:val="0"/>
          <w:i w:val="0"/>
          <w:strike w:val="0"/>
          <w:noProof w:val="0"/>
          <w:color w:val="000000"/>
          <w:position w:val="0"/>
          <w:sz w:val="20"/>
          <w:u w:val="none"/>
          <w:vertAlign w:val="baseline"/>
        </w:rPr>
        <w:t xml:space="preserve"> To be eligible for an award, an application for a Validation grant must be supported by moderate evidence of effectiveness (as defined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should identify up to two study citations to be reviewed against What Works Clearinghouse Evidence Standards for the purposes of meeting the i3 evidence standard requirement. An applicant should clearly identify these citations in Appendix D, under the "Other Attachments Form," of its application. The Department will not review a study citation that an applicant fails to clearly identify for review. In addition to the two study citations, applicants should include a description of the intervention(s) the applicant plans to implement and the intended student outcomes that the intervention(s) attempts to impact in Appendix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must either ensure that all evidence is available to the Department from publicly available sources and provide links or other guidance indicating where it is available; or, in the full application, include copies of evidence in Appendix D. If the Department determines that an applicant has provided insufficient information, the applicant will not have an opportunity to provide additional information at a later time. However, if the WWC determines that a study does not provide enough information on key aspects of the study design, such as sample attrition or equivalence of intervention and comparison groups, the WWC will submit a query to the study author(s) to gather information for use in determining a study rating. </w:t>
      </w:r>
      <w:r>
        <w:rPr>
          <w:rFonts w:ascii="arial" w:eastAsia="arial" w:hAnsi="arial" w:cs="arial"/>
          <w:b/>
          <w:i w:val="0"/>
          <w:strike w:val="0"/>
          <w:noProof w:val="0"/>
          <w:color w:val="000000"/>
          <w:position w:val="0"/>
          <w:sz w:val="20"/>
          <w:u w:val="none"/>
          <w:vertAlign w:val="baseline"/>
        </w:rPr>
        <w:t> [*30286] </w:t>
      </w:r>
      <w:r>
        <w:rPr>
          <w:rFonts w:ascii="arial" w:eastAsia="arial" w:hAnsi="arial" w:cs="arial"/>
          <w:b w:val="0"/>
          <w:i w:val="0"/>
          <w:strike w:val="0"/>
          <w:noProof w:val="0"/>
          <w:color w:val="000000"/>
          <w:position w:val="0"/>
          <w:sz w:val="20"/>
          <w:u w:val="none"/>
          <w:vertAlign w:val="baseline"/>
        </w:rPr>
        <w:t xml:space="preserve"> Authors are asked to respond to queries within ten business days. Should the author query remain incomplete within 14 days of the initial contact to the study author(s), the study will be deemed ineligible under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After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closes, the WWC will continue to include responses to author queries and will make updates to study reviews as necessary. However,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only take into account information that is available at the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open.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evidence standards apply to the prior research that supports the effectiveness of the proposed project. The i3 program does not restrict the source of prior research providing evidence for the proposed project. As such, an applicant could cite prior research in Appendix D for studies that were conducted by another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that is not the applicant) so long as the prior research studies cited in the application are relevant to the effectiveness of the proposed project.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Funding Categories:</w:t>
      </w:r>
      <w:r>
        <w:rPr>
          <w:rFonts w:ascii="arial" w:eastAsia="arial" w:hAnsi="arial" w:cs="arial"/>
          <w:b w:val="0"/>
          <w:i w:val="0"/>
          <w:strike w:val="0"/>
          <w:noProof w:val="0"/>
          <w:color w:val="000000"/>
          <w:position w:val="0"/>
          <w:sz w:val="20"/>
          <w:u w:val="none"/>
          <w:vertAlign w:val="baseline"/>
        </w:rPr>
        <w:t xml:space="preserve"> An applicant will be considered for an award only for the type of i3 grant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Development, Validation, or Scale-up grant) for which it applies. An applicant may not submit an application for the same proposed project under more than one type of grant.</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Limit on Grant Awards:</w:t>
      </w:r>
      <w:r>
        <w:rPr>
          <w:rFonts w:ascii="arial" w:eastAsia="arial" w:hAnsi="arial" w:cs="arial"/>
          <w:b w:val="0"/>
          <w:i w:val="0"/>
          <w:strike w:val="0"/>
          <w:noProof w:val="0"/>
          <w:color w:val="000000"/>
          <w:position w:val="0"/>
          <w:sz w:val="20"/>
          <w:u w:val="none"/>
          <w:vertAlign w:val="baseline"/>
        </w:rPr>
        <w:t xml:space="preserve"> (a) No grantee may receive more than two new grant awards of any type under the i3 program in a single year; (b) in any two-year period, no grantee may receive more than one new Scale-up or Validation grant; and (c) no grantee may receive in a single year new i3 grant awards that total an amount greater than the sum of the maximum amount of funds for a Scale-up grant and the maximum amount of funds for a Development grant for that year. For example, in a year when the maximum award value for a Scale-up grant is $ 20 million and the maximum award value for a Development grant is $ 3 million, no grantee may receive in a single year new grants totaling more than $ 23 million.</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Subgrants:</w:t>
      </w:r>
      <w:r>
        <w:rPr>
          <w:rFonts w:ascii="arial" w:eastAsia="arial" w:hAnsi="arial" w:cs="arial"/>
          <w:b w:val="0"/>
          <w:i w:val="0"/>
          <w:strike w:val="0"/>
          <w:noProof w:val="0"/>
          <w:color w:val="000000"/>
          <w:position w:val="0"/>
          <w:sz w:val="20"/>
          <w:u w:val="none"/>
          <w:vertAlign w:val="baseline"/>
        </w:rPr>
        <w:t xml:space="preserve"> In the case of an eligible applicant that is a partnership between a nonprofit organization and (1) one or more LEAs or (2) a consortium of schools, the partner serving as the applicant and, if funded, as the grantee, may make subgrants to one or more entities in the partnership.</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Evaluation:</w:t>
      </w:r>
      <w:r>
        <w:rPr>
          <w:rFonts w:ascii="arial" w:eastAsia="arial" w:hAnsi="arial" w:cs="arial"/>
          <w:b w:val="0"/>
          <w:i w:val="0"/>
          <w:strike w:val="0"/>
          <w:noProof w:val="0"/>
          <w:color w:val="000000"/>
          <w:position w:val="0"/>
          <w:sz w:val="20"/>
          <w:u w:val="none"/>
          <w:vertAlign w:val="baseline"/>
        </w:rPr>
        <w:t xml:space="preserve"> The grantee must conduct an independent evaluation (as defined in this notice) of its project. This evaluation must estimate the impact of the i3-supported practice (as implemented at the proposed level of scale) on a relevant outcome (as defined in this notice). The grantee must make broadly available digitally and free of charge,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mechanisms, the results of any evaluations it conducts of its funded activities. For Scale-up and Validation grants, the grantee must also ensure that the data from its evaluation are made available to third-party researchers consistent with applicable privacy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grantee and its independent evaluator must agree to cooperate with any technical assistance provided by the Department or its contractor and comply with the requirements of any evaluation of the program conducted by the Department. This includes providing to the Department, within 100 days of a grant award, an updated comprehensive evaluation plan in a format and using such tools as the Department may require. Grantees must update this evaluation plan at least annually to reflect any changes to the evaluation. All of these updates must be consistent with the scope and objectives of the approved application.</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Communities of Practice:</w:t>
      </w:r>
      <w:r>
        <w:rPr>
          <w:rFonts w:ascii="arial" w:eastAsia="arial" w:hAnsi="arial" w:cs="arial"/>
          <w:b w:val="0"/>
          <w:i w:val="0"/>
          <w:strike w:val="0"/>
          <w:noProof w:val="0"/>
          <w:color w:val="000000"/>
          <w:position w:val="0"/>
          <w:sz w:val="20"/>
          <w:u w:val="none"/>
          <w:vertAlign w:val="baseline"/>
        </w:rPr>
        <w:t xml:space="preserve"> Grantees must participate in, organize, or facilitate, as appropriate, communities of practice for the i3 program. A community of practice is a group of grantees that agrees to interact regularly to solve a persistent problem or improve practice in an area that is important to them.</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Management Plan:</w:t>
      </w:r>
      <w:r>
        <w:rPr>
          <w:rFonts w:ascii="arial" w:eastAsia="arial" w:hAnsi="arial" w:cs="arial"/>
          <w:b w:val="0"/>
          <w:i w:val="0"/>
          <w:strike w:val="0"/>
          <w:noProof w:val="0"/>
          <w:color w:val="000000"/>
          <w:position w:val="0"/>
          <w:sz w:val="20"/>
          <w:u w:val="none"/>
          <w:vertAlign w:val="baseline"/>
        </w:rPr>
        <w:t xml:space="preserve"> Within 100 days of a grant award, the grantee must provide an updated comprehensive management plan for the approved project in a format and using such tools as the Department may require. This management plan must include detailed information about implementation of the first year of the grant, including key milestones, staffing details, and other information that the Department may require. It must also include a complete list of performance metrics, including baseline measures and annual targets. The grantee must update this management plan at least annually to reflect implementation of subsequent years of the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9" w:history="1">
        <w:r>
          <w:rPr>
            <w:rFonts w:ascii="arial" w:eastAsia="arial" w:hAnsi="arial" w:cs="arial"/>
            <w:b w:val="0"/>
            <w:i/>
            <w:strike w:val="0"/>
            <w:noProof w:val="0"/>
            <w:color w:val="0077CC"/>
            <w:position w:val="0"/>
            <w:sz w:val="20"/>
            <w:u w:val="single"/>
            <w:vertAlign w:val="baseline"/>
          </w:rPr>
          <w:t>http://innovation.ed.gov/what-we-do/innovation/investing-in-innovation-i3/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30"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31"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84.411B.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Submit Application:</w:t>
      </w:r>
      <w:r>
        <w:rPr>
          <w:rFonts w:ascii="arial" w:eastAsia="arial" w:hAnsi="arial" w:cs="arial"/>
          <w:b w:val="0"/>
          <w:i w:val="0"/>
          <w:strike w:val="0"/>
          <w:noProof w:val="0"/>
          <w:color w:val="000000"/>
          <w:position w:val="0"/>
          <w:sz w:val="20"/>
          <w:u w:val="none"/>
          <w:vertAlign w:val="baseline"/>
        </w:rPr>
        <w:t xml:space="preserve"> June 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us of the applicant's intent to submit an application by completing a Web-based form. When completing this form, applicants will provide (1) the applicant organization's name and address and (2) the absolute priority the applicant intends to address. Applicants may access this form online at </w:t>
      </w:r>
      <w:hyperlink r:id="rId32" w:history="1">
        <w:r>
          <w:rPr>
            <w:rFonts w:ascii="arial" w:eastAsia="arial" w:hAnsi="arial" w:cs="arial"/>
            <w:b w:val="0"/>
            <w:i/>
            <w:strike w:val="0"/>
            <w:noProof w:val="0"/>
            <w:color w:val="0077CC"/>
            <w:position w:val="0"/>
            <w:sz w:val="20"/>
            <w:u w:val="single"/>
            <w:vertAlign w:val="baseline"/>
          </w:rPr>
          <w:t>https://www.surveymonkey.com/r/K9ZVJDS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do not complete this form may still submit an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Applicants should limit the application narrative for a Validation grant application to no more than 35 pages. Applicants are also strongly encouraged not to include lengthy appendices that contain information that they were unable to include within the page limits for the narrative. Applicants should use the following standards: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Double space (no more than three lines per vertical inch) all text in the application narrative, including titles, </w:t>
      </w:r>
      <w:r>
        <w:rPr>
          <w:rFonts w:ascii="arial" w:eastAsia="arial" w:hAnsi="arial" w:cs="arial"/>
          <w:b/>
          <w:i w:val="0"/>
          <w:strike w:val="0"/>
          <w:noProof w:val="0"/>
          <w:color w:val="000000"/>
          <w:position w:val="0"/>
          <w:sz w:val="20"/>
          <w:u w:val="none"/>
          <w:vertAlign w:val="baseline"/>
        </w:rPr>
        <w:t> [*30287] </w:t>
      </w:r>
      <w:r>
        <w:rPr>
          <w:rFonts w:ascii="arial" w:eastAsia="arial" w:hAnsi="arial" w:cs="arial"/>
          <w:b w:val="0"/>
          <w:i w:val="0"/>
          <w:strike w:val="0"/>
          <w:noProof w:val="0"/>
          <w:color w:val="000000"/>
          <w:position w:val="0"/>
          <w:sz w:val="20"/>
          <w:u w:val="none"/>
          <w:vertAlign w:val="baseline"/>
        </w:rPr>
        <w:t xml:space="preserve"> headings, footnotes, quotations, references, and captions.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for the application does not apply to part I, the cover sheet; Part II, the budget section, including the narrative budget justification; Part IV, the assurances and certifications; or the one-page abstract, the resumes, the bibliography, or the letters of support of the application. However, the page limit does apply to all of the application narrative section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i3 program, your application may include business information that you consider proprietary. In </w:t>
      </w:r>
      <w:hyperlink r:id="rId33"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process followed in the prior i3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we plan on posting the project narrative section of funded i3 applications on the Department's Web site. Accordingly, you may wish to request confidentiality of business information. Identifying proprietary information in the submitted application will help facilitate this public disclosure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33"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May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Submit Applications: June 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Informational Meetings: The i3 program intends to hold Webinars designed to provide technical assistance to interested applicants for all three types of grants. Detailed information regarding these meetings will be provided on the i3 Web site at </w:t>
      </w:r>
      <w:hyperlink r:id="rId29" w:history="1">
        <w:r>
          <w:rPr>
            <w:rFonts w:ascii="arial" w:eastAsia="arial" w:hAnsi="arial" w:cs="arial"/>
            <w:b w:val="0"/>
            <w:i/>
            <w:strike w:val="0"/>
            <w:noProof w:val="0"/>
            <w:color w:val="0077CC"/>
            <w:position w:val="0"/>
            <w:sz w:val="20"/>
            <w:u w:val="single"/>
            <w:vertAlign w:val="baseline"/>
          </w:rPr>
          <w:t>http://innovation.ed.gov/what-we-do/innovation/investing-in-innovation-i3/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September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34"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val="0"/>
          <w:strike w:val="0"/>
          <w:noProof w:val="0"/>
          <w:color w:val="000000"/>
          <w:position w:val="0"/>
          <w:sz w:val="20"/>
          <w:u w:val="none"/>
          <w:vertAlign w:val="baseline"/>
        </w:rPr>
        <w:t>. A DUNS number can be created within one-to-two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5"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36"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37"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for the i3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i3 program, CFDA number 84.411B (Validation grants),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i w:val="0"/>
          <w:strike w:val="0"/>
          <w:noProof w:val="0"/>
          <w:color w:val="000000"/>
          <w:position w:val="0"/>
          <w:sz w:val="20"/>
          <w:u w:val="none"/>
          <w:vertAlign w:val="baseline"/>
        </w:rPr>
        <w:t> [*30288] </w:t>
      </w:r>
      <w:r>
        <w:rPr>
          <w:rFonts w:ascii="arial" w:eastAsia="arial" w:hAnsi="arial" w:cs="arial"/>
          <w:b w:val="0"/>
          <w:i w:val="0"/>
          <w:strike w:val="0"/>
          <w:noProof w:val="0"/>
          <w:color w:val="000000"/>
          <w:position w:val="0"/>
          <w:sz w:val="20"/>
          <w:u w:val="none"/>
          <w:vertAlign w:val="baseline"/>
        </w:rPr>
        <w:t xml:space="preserve"> at </w:t>
      </w:r>
      <w:hyperlink r:id="rId3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i3 program at </w:t>
      </w:r>
      <w:hyperlink r:id="rId3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84.411, not 84.411B).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9"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40"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may request that you provide us original signatures on forms at a later date. </w:t>
      </w: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 xml:space="preserve"> 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w:t>
      </w:r>
      <w:r>
        <w:rPr>
          <w:rFonts w:ascii="arial" w:eastAsia="arial" w:hAnsi="arial" w:cs="arial"/>
          <w:b/>
          <w:i w:val="0"/>
          <w:strike w:val="0"/>
          <w:noProof w:val="0"/>
          <w:color w:val="000000"/>
          <w:position w:val="0"/>
          <w:sz w:val="20"/>
          <w:u w:val="none"/>
          <w:vertAlign w:val="baseline"/>
        </w:rPr>
        <w:t> [*30289] </w:t>
      </w:r>
      <w:r>
        <w:rPr>
          <w:rFonts w:ascii="arial" w:eastAsia="arial" w:hAnsi="arial" w:cs="arial"/>
          <w:b w:val="0"/>
          <w:i w:val="0"/>
          <w:strike w:val="0"/>
          <w:noProof w:val="0"/>
          <w:color w:val="000000"/>
          <w:position w:val="0"/>
          <w:sz w:val="20"/>
          <w:u w:val="none"/>
          <w:vertAlign w:val="baseline"/>
        </w:rPr>
        <w:t xml:space="preserve">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Kelly Terpak, U.S. Department of Education, 400 Maryland Avenue SW., Room 4W312, Washington, DC 20202. FAX: (202) 401-4123.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84.411B),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84.411B),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the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2013 i3 NFP and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 are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points assigned to each criterion are indicated in the parentheses next to the criterion. An applicant may earn up to a total of 100 points based on the selection criteria for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significance of the project,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or severity of the problem to be addressed by the proposed project.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involves the development or demonstration of promising new strategies that build on, or are alternatives to, existing strategies.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extent to which the proposed project represents an exceptional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Strategy to Scale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applicant's capacity to scale the proposed project,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demonstrates there is unmet demand for the process, product, strategy or practice that will enable the applicant to reach the level of scale that is proposed in the application.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will use grant funds to address a particular barrier or barriers that prevented the applicant, in the past, from reaching the level of scale proposed in the application. (2013 i3 NFP)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feasibility of successful replication of the proposed project, if favorable results are obtained, in a variety of settings and with a variety of populations.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Design and Management Plan (up to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proposed project design,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[*30290]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clarity and coherence of the applicant's multi-year financial and operating model and accompanying plan to operate the project at a national or regional level (as defined in this notice) during the project period. (2013 i3 NFP)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adequacy of procedures for ensuring feedback and continuous improvement in the operation of the proposed project.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evaluation to be conducted,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will, if well implemented, produce evidence about the project's effectiveness that would meet the What Works Clearinghouse Evidence Standards without reservations.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clarity and importance of the key questions to be addressed by the project evaluation, and the appropriateness of the methods for how each question will be addressed.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evaluation will study the project at the proposed level of scale, including, where appropriate, generating information about potential differential effectiveness of the project in diverse settings and for diverse student population groups.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evaluation plan includes a clear and credible analysis plan, including a proposed sample size and minimum detectable effect size that aligns with the expected project impact, and an analytic approach for addressing the research questions.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evaluation plan clearly articulates the key components and outcomes of the project, as well as a measurable threshold for acceptable implementation.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extent to which the proposed project plan includes sufficient resources to carry out the project evaluation effectively. (2013 i3 NFP)</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wish to review the following technical assistance resources on evaluation: (1) WWC Procedures and Standards Handbook: </w:t>
      </w:r>
      <w:hyperlink r:id="rId42"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(2) IES/NCEE Technical Methods papers: </w:t>
      </w:r>
      <w:hyperlink r:id="rId43"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applicants may view two optional Webinar recordings that were hosted by the Institute of Education Sciences. The first Webinar discussed strategies for designing and executing well-designed quasi-experimental design studies and is available at: </w:t>
      </w:r>
      <w:hyperlink r:id="rId44" w:history="1">
        <w:r>
          <w:rPr>
            <w:rFonts w:ascii="arial" w:eastAsia="arial" w:hAnsi="arial" w:cs="arial"/>
            <w:b w:val="0"/>
            <w:i/>
            <w:strike w:val="0"/>
            <w:noProof w:val="0"/>
            <w:color w:val="0077CC"/>
            <w:position w:val="0"/>
            <w:sz w:val="20"/>
            <w:u w:val="single"/>
            <w:vertAlign w:val="baseline"/>
          </w:rPr>
          <w:t>http://ies.ed.gov/ncee/wwc/Multimedia.aspx?sid=23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second Webinar focused on more rigorous evaluation designs and discussed strategies for designing and executing studies that meet WWC evidence standards without reservations. This Webinar is available at: </w:t>
      </w:r>
      <w:hyperlink r:id="rId45" w:history="1">
        <w:r>
          <w:rPr>
            <w:rFonts w:ascii="arial" w:eastAsia="arial" w:hAnsi="arial" w:cs="arial"/>
            <w:b w:val="0"/>
            <w:i/>
            <w:strike w:val="0"/>
            <w:noProof w:val="0"/>
            <w:color w:val="0077CC"/>
            <w:position w:val="0"/>
            <w:sz w:val="20"/>
            <w:u w:val="single"/>
            <w:vertAlign w:val="baseline"/>
          </w:rPr>
          <w:t>http://ies.ed.gov/ncee/wwc/Multimedia.aspx?sid=18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Before making awards, we will screen applications submitted in accordance with the requirements in this notice to determine whether applications have met eligibility and other requirements. This screening process may occur at various stages of the process; applicants that are determined to be ineligible will not receive a grant, regardless of peer reviewer scores 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application review process, we will use independent peer reviewers with varied backgrounds and professions including pre-kindergarten-grade 12 teachers and principals, college and university educators, researchers and evaluators, social entrepreneurs, strategy consultants, grant makers and managers, and others with education expertise. All reviewers will be thoroughly screened for conflicts of interest to ensure a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Peer reviewers will read, prepare a written evaluation of, and score the assigned applications, using the selection criteria provided in this notice. For Validation grant applications, we intend to conduct a single tier review. If an eligible applicant addresses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(Supporting Novice i3 Applicants), the Department will review its list of previous i3 grantees in scoring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46"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47"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52"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53"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54"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55"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56"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57"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[*30291]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58"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overall purpose of the i3 program is to expand the implementation of, and investment in, innovative practices that are demonstrated to have an impact on improving student achievement or student growth for high-need students. We have established several performance measures for the i3 Validation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Short-term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their annual target number of students as specified in the application; (2) the percentage of programs, practices, or strategies supported by a Validation grant with ongoing well-designed and independent evaluations that will provide evidence of their effectiveness at improving student outcomes at scale; (3) the percentage of programs, practices, or strategies supported by a Validation grant with ongoing evaluations that are providing high-quality implementation data and performance feedback that allow for periodic assessment of progress toward achieving intended outcomes; and (4) the cost per student actually served by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Long-term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 targeted number of students specified in the application; (2) the percentage of programs, practices, or strategies supported by a Validation grant that implement a completed well-designed, well-implemented and independent evaluation that provides evidence of their effectiveness at improving student outcomes at scale; (3) the percentage of programs, practices, or strategies supported by a Validation grant with a completed well-designed, well-implemented and independent evaluation that provides information about the key elements and the approach of the project so as to facilitate replication or testing in other settings; and (4) the cost per student for programs, practices, or strategies that were proven to be effective at improving educational outcomes for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5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47"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Kelly Terpak, U.S. Department of Education, 400 Maryland Avenue SW., Room 4W312, Washington, DC 20202. Telephone: (202) 453-7122. FAX: (202) 401-4123 or by email: </w:t>
      </w:r>
      <w:hyperlink r:id="rId60" w:history="1">
        <w:r>
          <w:rPr>
            <w:rFonts w:ascii="arial" w:eastAsia="arial" w:hAnsi="arial" w:cs="arial"/>
            <w:b w:val="0"/>
            <w:i/>
            <w:strike w:val="0"/>
            <w:noProof w:val="0"/>
            <w:color w:val="0077CC"/>
            <w:position w:val="0"/>
            <w:sz w:val="20"/>
            <w:u w:val="single"/>
            <w:vertAlign w:val="baseline"/>
          </w:rPr>
          <w:t>i3@ed.gov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either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61"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62"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2016-11522 Filed 5-13-16;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May 18, 2016. Deadline for Notice of Intent to Apply: June 6, 2016. Deadline for Transmittal of Applications: July 15, 2016. Deadline for Intergovernmental Review: September 13, 2016.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30279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d.gov/ocr/letters/colleague-201309.pdf" TargetMode="External" /><Relationship Id="rId11" Type="http://schemas.openxmlformats.org/officeDocument/2006/relationships/hyperlink" Target="http://www.ed.gov/ocr/docs/dcl-qa-201309.pdf" TargetMode="External" /><Relationship Id="rId12" Type="http://schemas.openxmlformats.org/officeDocument/2006/relationships/hyperlink" Target="http://www.ed.gov/ocr/letters/colleague-201405-schuette-guidance.pdf" TargetMode="External" /><Relationship Id="rId13" Type="http://schemas.openxmlformats.org/officeDocument/2006/relationships/hyperlink" Target="http://edex.s3-us-west-2.amazonaws.com/%2802.09%20-%20Final%20Published%29%20Evaluating%20the%20Content%20and%20Quality%20of%20Next%20Generation%20Assessments.pdf" TargetMode="External" /><Relationship Id="rId14" Type="http://schemas.openxmlformats.org/officeDocument/2006/relationships/hyperlink" Target="http://www.esa.doc.gov/sites/default/files/stemfinalyjuly14_1.pdf" TargetMode="External" /><Relationship Id="rId15" Type="http://schemas.openxmlformats.org/officeDocument/2006/relationships/hyperlink" Target="https://www.whitehouse.gov/blog/2016/01/30/computer-science-all" TargetMode="External" /><Relationship Id="rId16" Type="http://schemas.openxmlformats.org/officeDocument/2006/relationships/hyperlink" Target="http://iedse.org/temp/wp-content/uploads/2015/02/www.iedse_.org_documents_STEM-Education-Preparing-for-the-Jobs-of-the-Future-.pdf" TargetMode="External" /><Relationship Id="rId17" Type="http://schemas.openxmlformats.org/officeDocument/2006/relationships/hyperlink" Target="http://bls.gov/emp/" TargetMode="External" /><Relationship Id="rId18" Type="http://schemas.openxmlformats.org/officeDocument/2006/relationships/hyperlink" Target="https://cew.georgetown.edu/wp-content/uploads/2014/11/stem-complete.pdf" TargetMode="External" /><Relationship Id="rId19" Type="http://schemas.openxmlformats.org/officeDocument/2006/relationships/hyperlink" Target="http://www.oecd.org/pisa/keyfindings/PISA-2012-results-US.pdf" TargetMode="External" /><Relationship Id="rId2" Type="http://schemas.openxmlformats.org/officeDocument/2006/relationships/webSettings" Target="webSettings.xml" /><Relationship Id="rId20" Type="http://schemas.openxmlformats.org/officeDocument/2006/relationships/hyperlink" Target="http://nces.ed.gov/pubsearch" TargetMode="External" /><Relationship Id="rId21" Type="http://schemas.openxmlformats.org/officeDocument/2006/relationships/hyperlink" Target="https://nces.ed.gov/ccd/tables/ACGR_RE_and_characteristics_2013-14.asp" TargetMode="External" /><Relationship Id="rId22" Type="http://schemas.openxmlformats.org/officeDocument/2006/relationships/hyperlink" Target="http://publicimpact.com/school-turnarounds-how-successful-principals-use-teacher-leadership/" TargetMode="External" /><Relationship Id="rId23" Type="http://schemas.openxmlformats.org/officeDocument/2006/relationships/hyperlink" Target="https://advance.lexis.com/api/document?collection=administrative-codes&amp;id=urn:contentItem:5DT7-0130-006W-81YP-00000-00&amp;context=" TargetMode="External" /><Relationship Id="rId24" Type="http://schemas.openxmlformats.org/officeDocument/2006/relationships/hyperlink" Target="https://advance.lexis.com/api/document?collection=administrative-codes&amp;id=urn:contentItem:5GMB-DPB0-008H-02BK-00000-00&amp;context=" TargetMode="External" /><Relationship Id="rId25" Type="http://schemas.openxmlformats.org/officeDocument/2006/relationships/hyperlink" Target="https://advance.lexis.com/api/document?collection=administrative-codes&amp;id=urn:contentItem:5S7T-7HV0-008H-03HM-00000-00&amp;context=" TargetMode="External" /><Relationship Id="rId26" Type="http://schemas.openxmlformats.org/officeDocument/2006/relationships/hyperlink" Target="https://advance.lexis.com/api/document?collection=administrative-codes&amp;id=urn:contentItem:5P25-NG20-008H-02V3-00000-00&amp;context=" TargetMode="External" /><Relationship Id="rId27" Type="http://schemas.openxmlformats.org/officeDocument/2006/relationships/hyperlink" Target="http://www2.ed.gov/nclb/freedom/local/reap.html" TargetMode="External" /><Relationship Id="rId28" Type="http://schemas.openxmlformats.org/officeDocument/2006/relationships/hyperlink" Target="http://ies.ed.gov/ncee/wwc/DocumentSum.aspx?sid=19" TargetMode="External" /><Relationship Id="rId29" Type="http://schemas.openxmlformats.org/officeDocument/2006/relationships/hyperlink" Target="http://innovation.ed.gov/what-we-do/innovation/investing-in-innovation-i3/" TargetMode="External" /><Relationship Id="rId3" Type="http://schemas.openxmlformats.org/officeDocument/2006/relationships/fontTable" Target="fontTable.xml" /><Relationship Id="rId30" Type="http://schemas.openxmlformats.org/officeDocument/2006/relationships/hyperlink" Target="http://www.EDPubs.gov" TargetMode="External" /><Relationship Id="rId31" Type="http://schemas.openxmlformats.org/officeDocument/2006/relationships/hyperlink" Target="mailto:edpubs@inet.ed.gov" TargetMode="External" /><Relationship Id="rId32" Type="http://schemas.openxmlformats.org/officeDocument/2006/relationships/hyperlink" Target="https://www.surveymonkey.com/r/K9ZVJDS" TargetMode="External" /><Relationship Id="rId33" Type="http://schemas.openxmlformats.org/officeDocument/2006/relationships/hyperlink" Target="https://advance.lexis.com/api/document?collection=administrative-codes&amp;id=urn:contentItem:5G9C-N1H0-008H-002J-00000-00&amp;context=" TargetMode="External" /><Relationship Id="rId34" Type="http://schemas.openxmlformats.org/officeDocument/2006/relationships/hyperlink" Target="http://fedgov.dnb.com/webform" TargetMode="External" /><Relationship Id="rId35" Type="http://schemas.openxmlformats.org/officeDocument/2006/relationships/hyperlink" Target="http://www.SAM.gov" TargetMode="External" /><Relationship Id="rId36" Type="http://schemas.openxmlformats.org/officeDocument/2006/relationships/hyperlink" Target="http://www2.ed.gov/fund/grant/apply/sam-faqs.html" TargetMode="External" /><Relationship Id="rId37" Type="http://schemas.openxmlformats.org/officeDocument/2006/relationships/hyperlink" Target="http://www.grants.gov/web/grants/register.html" TargetMode="External" /><Relationship Id="rId38" Type="http://schemas.openxmlformats.org/officeDocument/2006/relationships/hyperlink" Target="http://www.Grants.gov" TargetMode="External" /><Relationship Id="rId39" Type="http://schemas.openxmlformats.org/officeDocument/2006/relationships/hyperlink" Target="http://www.G5.gov" TargetMode="External" /><Relationship Id="rId4" Type="http://schemas.openxmlformats.org/officeDocument/2006/relationships/header" Target="header1.xml" /><Relationship Id="rId40" Type="http://schemas.openxmlformats.org/officeDocument/2006/relationships/hyperlink" Target="http://www.grants.gov/web/grants/applicants/apply-for-grants.html" TargetMode="External" /><Relationship Id="rId41" Type="http://schemas.openxmlformats.org/officeDocument/2006/relationships/hyperlink" Target="https://advance.lexis.com/api/document?collection=administrative-codes&amp;id=urn:contentItem:5S7T-7HS0-008H-02VY-00000-00&amp;context=" TargetMode="External" /><Relationship Id="rId42" Type="http://schemas.openxmlformats.org/officeDocument/2006/relationships/hyperlink" Target="http://ies.ed.gov/ncee/wwc/references/idocviewer/doc.aspx?docid=19&amp;tocid=1" TargetMode="External" /><Relationship Id="rId43" Type="http://schemas.openxmlformats.org/officeDocument/2006/relationships/hyperlink" Target="http://ies.ed.gov/ncee/tech_methods/" TargetMode="External" /><Relationship Id="rId44" Type="http://schemas.openxmlformats.org/officeDocument/2006/relationships/hyperlink" Target="http://ies.ed.gov/ncee/wwc/Multimedia.aspx?sid=23" TargetMode="External" /><Relationship Id="rId45" Type="http://schemas.openxmlformats.org/officeDocument/2006/relationships/hyperlink" Target="http://ies.ed.gov/ncee/wwc/Multimedia.aspx?sid=18" TargetMode="External" /><Relationship Id="rId46" Type="http://schemas.openxmlformats.org/officeDocument/2006/relationships/hyperlink" Target="https://advance.lexis.com/api/document?collection=administrative-codes&amp;id=urn:contentItem:5GMB-DPB0-008H-02GP-00000-00&amp;context=" TargetMode="External" /><Relationship Id="rId47" Type="http://schemas.openxmlformats.org/officeDocument/2006/relationships/hyperlink" Target="https://advance.lexis.com/api/document?collection=administrative-codes&amp;id=urn:contentItem:5KS0-F5W0-008H-023P-00000-00&amp;context=" TargetMode="External" /><Relationship Id="rId48" Type="http://schemas.openxmlformats.org/officeDocument/2006/relationships/hyperlink" Target="https://advance.lexis.com/api/document?collection=administrative-codes&amp;id=urn:contentItem:5R5H-J1H0-008H-043K-00000-00&amp;context=" TargetMode="External" /><Relationship Id="rId49" Type="http://schemas.openxmlformats.org/officeDocument/2006/relationships/hyperlink" Target="https://advance.lexis.com/api/document?collection=administrative-codes&amp;id=urn:contentItem:5KS0-F5W0-008H-024V-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KS0-F600-008H-02PT-00000-00&amp;context=" TargetMode="External" /><Relationship Id="rId51" Type="http://schemas.openxmlformats.org/officeDocument/2006/relationships/hyperlink" Target="https://advance.lexis.com/api/document?collection=administrative-codes&amp;id=urn:contentItem:5KS0-F5W0-008H-025B-00000-00&amp;context=" TargetMode="External" /><Relationship Id="rId52" Type="http://schemas.openxmlformats.org/officeDocument/2006/relationships/hyperlink" Target="https://advance.lexis.com/api/document?collection=administrative-codes&amp;id=urn:contentItem:5HDM-DHF0-008G-Y2NJ-00000-00&amp;context=" TargetMode="External" /><Relationship Id="rId53" Type="http://schemas.openxmlformats.org/officeDocument/2006/relationships/hyperlink" Target="https://advance.lexis.com/api/document?collection=administrative-codes&amp;id=urn:contentItem:5F34-Y1R0-008G-Y1F9-00000-00&amp;context=" TargetMode="External" /><Relationship Id="rId54" Type="http://schemas.openxmlformats.org/officeDocument/2006/relationships/hyperlink" Target="https://advance.lexis.com/api/document?collection=administrative-codes&amp;id=urn:contentItem:5F2R-48P0-008G-Y31V-00000-00&amp;context=" TargetMode="External" /><Relationship Id="rId55" Type="http://schemas.openxmlformats.org/officeDocument/2006/relationships/hyperlink" Target="https://advance.lexis.com/api/document?collection=administrative-codes&amp;id=urn:contentItem:5GMB-DPC0-008H-02S7-00000-00&amp;context=" TargetMode="External" /><Relationship Id="rId56" Type="http://schemas.openxmlformats.org/officeDocument/2006/relationships/hyperlink" Target="https://advance.lexis.com/api/document?collection=administrative-codes&amp;id=urn:contentItem:5GMB-DPC0-008H-02SK-00000-00&amp;context=" TargetMode="External" /><Relationship Id="rId57" Type="http://schemas.openxmlformats.org/officeDocument/2006/relationships/hyperlink" Target="http://www.ed.gov/fund/grant/apply/appforms/appforms.html" TargetMode="External" /><Relationship Id="rId58" Type="http://schemas.openxmlformats.org/officeDocument/2006/relationships/hyperlink" Target="https://advance.lexis.com/api/document?collection=administrative-codes&amp;id=urn:contentItem:5GMB-DPB0-008H-0272-00000-00&amp;context=" TargetMode="External" /><Relationship Id="rId59" Type="http://schemas.openxmlformats.org/officeDocument/2006/relationships/hyperlink" Target="https://advance.lexis.com/api/document?collection=administrative-codes&amp;id=urn:contentItem:5GMB-DPB0-008H-02K8-00000-00&amp;context=" TargetMode="External" /><Relationship Id="rId6" Type="http://schemas.openxmlformats.org/officeDocument/2006/relationships/footer" Target="footer2.xml" /><Relationship Id="rId60" Type="http://schemas.openxmlformats.org/officeDocument/2006/relationships/hyperlink" Target="mailto:i3@ed.gov" TargetMode="External" /><Relationship Id="rId61" Type="http://schemas.openxmlformats.org/officeDocument/2006/relationships/hyperlink" Target="http://www.gpo.gov/fdsys" TargetMode="External" /><Relationship Id="rId62" Type="http://schemas.openxmlformats.org/officeDocument/2006/relationships/hyperlink" Target="http://www.federalregister.gov" TargetMode="External" /><Relationship Id="rId63" Type="http://schemas.openxmlformats.org/officeDocument/2006/relationships/numbering" Target="numbering.xml" /><Relationship Id="rId64" Type="http://schemas.openxmlformats.org/officeDocument/2006/relationships/styles" Target="styles.xml" /><Relationship Id="rId7" Type="http://schemas.openxmlformats.org/officeDocument/2006/relationships/hyperlink" Target="https://advance.lexis.com/api/document?collection=administrative-codes&amp;id=urn:contentItem:5JSR-M120-006W-81XC-00000-00&amp;context=" TargetMode="External" /><Relationship Id="rId8" Type="http://schemas.openxmlformats.org/officeDocument/2006/relationships/hyperlink" Target="https://www.gpo.gov/fdsys/pkg/FR-2016-04-25/pdf/2016-09436.pdf" TargetMode="External" /><Relationship Id="rId9" Type="http://schemas.openxmlformats.org/officeDocument/2006/relationships/hyperlink" Target="http://www2.ed.gov/about/offices/list/ocr/docs/guidance-ese-201111.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7680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71556554</vt:lpwstr>
  </property>
  <property fmtid="{D5CDD505-2E9C-101B-9397-08002B2CF9AE}" pid="3" name="LADocCount">
    <vt:lpwstr>1</vt:lpwstr>
  </property>
  <property fmtid="{D5CDD505-2E9C-101B-9397-08002B2CF9AE}" pid="4" name="UserPermID">
    <vt:lpwstr>urn:user:PA185916758</vt:lpwstr>
  </property>
</Properties>
</file>