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3213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012, Wednesday, January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3213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 To Amend Market Data Fees for the NYSE Arca Options Product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34-76890; File No. SR-NYSEArca-2015-130]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December 31, 2015, NYSE Arca, Inc. (the "Exchange" or "NYSE Arca")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Arca Options Product, as set forth on the NYSE Arca Options Proprietary Market Data Fee Schedule ("Fee Schedule"). The Exchange proposes to establish a multiple data feed fee effective January 1, 2016. Specifically, the Exchange proposes to establish a new monthly fee, the "Multiple Data Feed Fee," that would apply to data recipients that take a data feed for NYSE Arca Options Product in more than two locations. Data recipients taking NYSE Arca Options Product in more than two locations would be charged $ 200 per additional location per product per month. The text of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Arca Options Product, n4 as set forth on the NYSE Arca Options Proprietary Market Data Fee Schedule ("Fee Schedule"). The Exchange proposes to establish a multiple data feed fee effective January 1, 2016. Specifically, the Exchange proposes to establish a new monthly fee, the "Multiple Data Feed Fee," that would apply to data recipients that take a data feed for NYSE Arca Options Product in more than two locations. Data recipients </w:t>
      </w:r>
      <w:r>
        <w:rPr>
          <w:rFonts w:ascii="arial" w:eastAsia="arial" w:hAnsi="arial" w:cs="arial"/>
          <w:b/>
          <w:i w:val="0"/>
          <w:strike w:val="0"/>
          <w:noProof w:val="0"/>
          <w:color w:val="000000"/>
          <w:position w:val="0"/>
          <w:sz w:val="20"/>
          <w:u w:val="none"/>
          <w:vertAlign w:val="baseline"/>
        </w:rPr>
        <w:t> [*3214] </w:t>
      </w:r>
      <w:r>
        <w:rPr>
          <w:rFonts w:ascii="arial" w:eastAsia="arial" w:hAnsi="arial" w:cs="arial"/>
          <w:b w:val="0"/>
          <w:i w:val="0"/>
          <w:strike w:val="0"/>
          <w:noProof w:val="0"/>
          <w:color w:val="000000"/>
          <w:position w:val="0"/>
          <w:sz w:val="20"/>
          <w:u w:val="none"/>
          <w:vertAlign w:val="baseline"/>
        </w:rPr>
        <w:t xml:space="preserve"> taking NYSE Arca Options Product in more than two locations would be charged $ 200 per additional location per product per month. No new reporting would be required.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76023 (Sept. 29, 2015), </w:t>
      </w:r>
      <w:hyperlink r:id="rId12" w:history="1">
        <w:r>
          <w:rPr>
            <w:rFonts w:ascii="arial" w:eastAsia="arial" w:hAnsi="arial" w:cs="arial"/>
            <w:b w:val="0"/>
            <w:i/>
            <w:strike w:val="0"/>
            <w:noProof w:val="0"/>
            <w:color w:val="0077CC"/>
            <w:position w:val="0"/>
            <w:sz w:val="20"/>
            <w:u w:val="single"/>
            <w:vertAlign w:val="baseline"/>
          </w:rPr>
          <w:t>80 FR 60208</w:t>
        </w:r>
      </w:hyperlink>
      <w:r>
        <w:rPr>
          <w:rFonts w:ascii="arial" w:eastAsia="arial" w:hAnsi="arial" w:cs="arial"/>
          <w:b w:val="0"/>
          <w:i w:val="0"/>
          <w:strike w:val="0"/>
          <w:noProof w:val="0"/>
          <w:color w:val="000000"/>
          <w:position w:val="0"/>
          <w:sz w:val="20"/>
          <w:u w:val="none"/>
          <w:vertAlign w:val="baseline"/>
        </w:rPr>
        <w:t xml:space="preserve"> (Oct. 5, 2015) (SR-NYSEArca-2015-83). The single fee for the NYSE Arca Options Product set forth on the Fee Schedule is comprised of three data feeds: Arca Options Top, Arca Options Deep and Arca Options Complex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NYSE Arca Options Product, that data recipient will pay the Multiple Data Feed fee with respect to three of the five locations, or $ 600.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n6 in general, and sections 6(b)(4) and 6(b)(5) of the Act, n7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Arca Options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data recipients to pay a modest additional fee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n8 The Exchange also notes that the OPRA Plan imposes a similar charge of $ 100 per connection for circuit connections in addition to the primary and backup connections.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14"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PRA Plan at </w:t>
      </w:r>
      <w:hyperlink r:id="rId15"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Arca Options Product is entirely optional. The Exchange is not required to make NYSE Arca Options Product available or to offer any specific pricing alternatives to any customers, nor is any firm required to purchase NYSE Arca Options Product. Firms that do purchase NYSE Arca Options Product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Arca Options Product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Arca Options Product have a variety of alternative market data products from which to choose, n10 or if NYSE Arca Options Product does not provide sufficient value to firms as offered based on the uses those firms have or planned to make of it, such firms may simply choose to conduct their business operations in ways that do not use NYSE Arca Options Product or use it at different levels or in different configurations. The Exchange notes that broker-dealers are not required to purchase proprietary market data to comply with their best execution obligations.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For example, Chicago Board Options Exchange ("CBOE") charges, for its "Complex Order Book Feed," a Distributor Fee of $ 3,000 per month, a Professional User Fee of $ 25 per month and a Non-Professional User Fee of $ 1 per month.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CBOE "Complex Order Book Feed" product and pricing information, available at </w:t>
      </w:r>
      <w:hyperlink r:id="rId16" w:history="1">
        <w:r>
          <w:rPr>
            <w:rFonts w:ascii="arial" w:eastAsia="arial" w:hAnsi="arial" w:cs="arial"/>
            <w:b w:val="0"/>
            <w:i/>
            <w:strike w:val="0"/>
            <w:noProof w:val="0"/>
            <w:color w:val="0077CC"/>
            <w:position w:val="0"/>
            <w:sz w:val="20"/>
            <w:u w:val="single"/>
            <w:vertAlign w:val="baseline"/>
          </w:rPr>
          <w:t>https://www.cboe.org/MDX/CSM/OBOOKMain.aspx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NASDAQ OMX PHLX LLC ("PHLX") also offers a market data product entitled "PHLX Orders," which includes order and last sale information for complex strategies and other market data, and charges a $ 3,000 internal monthly fee ($ 3,500 for external), $ 2,000 per Distributor and $ 500 per subscriber.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PHLX "PHLX Orders" market data product and pricing information, available at </w:t>
      </w:r>
      <w:hyperlink r:id="rId17" w:history="1">
        <w:r>
          <w:rPr>
            <w:rFonts w:ascii="arial" w:eastAsia="arial" w:hAnsi="arial" w:cs="arial"/>
            <w:b w:val="0"/>
            <w:i/>
            <w:strike w:val="0"/>
            <w:noProof w:val="0"/>
            <w:color w:val="0077CC"/>
            <w:position w:val="0"/>
            <w:sz w:val="20"/>
            <w:u w:val="single"/>
            <w:vertAlign w:val="baseline"/>
          </w:rPr>
          <w:t>http://www.nasdaqtrader.com/Micro.aspx?id=PHLXOrders</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http://www.nasdaqtrader.com/Trader.aspx?id=DPPriceListOptions#PHLX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9"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9"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n13 In addition, the existence of alternatives to these data products, such as options data from other sources, as described below, further ensures that the Exchange cannot set unreasonable fees, or fees that are unreasonably discriminatory, when vendors and subscribers can select such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Section 916 of the Dodd-Frank Wall Street Reform and Consumer Protection Act of 2010 (the "Dodd-Frank Act")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to make clear that all exchange fees for market data may be filed by exchanges on an immediately effective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0"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options trades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options market data. Proprietary options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n15 Similarly, the options markets vigorously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respect to options data products.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Press Release, U.S. Department of Justice, Assistant Attorney General Christine Varney Holds Conference Call Regarding NASDAQ OMX Group Inc. and IntercontinentalExchange Inc. Abandoning Their Bid for NYSE Euronext (May 16, 2011), available at </w:t>
      </w:r>
      <w:hyperlink r:id="rId21"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val="0"/>
          <w:strike w:val="0"/>
          <w:noProof w:val="0"/>
          <w:color w:val="000000"/>
          <w:position w:val="0"/>
          <w:sz w:val="20"/>
          <w:u w:val="none"/>
          <w:vertAlign w:val="baseline"/>
        </w:rPr>
        <w:t xml:space="preserve">; see also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67466 (July 19, 2012), </w:t>
      </w:r>
      <w:hyperlink r:id="rId22" w:history="1">
        <w:r>
          <w:rPr>
            <w:rFonts w:ascii="arial" w:eastAsia="arial" w:hAnsi="arial" w:cs="arial"/>
            <w:b w:val="0"/>
            <w:i/>
            <w:strike w:val="0"/>
            <w:noProof w:val="0"/>
            <w:color w:val="0077CC"/>
            <w:position w:val="0"/>
            <w:sz w:val="20"/>
            <w:u w:val="single"/>
            <w:vertAlign w:val="baseline"/>
          </w:rPr>
          <w:t>77 FR 43629</w:t>
        </w:r>
      </w:hyperlink>
      <w:r>
        <w:rPr>
          <w:rFonts w:ascii="arial" w:eastAsia="arial" w:hAnsi="arial" w:cs="arial"/>
          <w:b w:val="0"/>
          <w:i w:val="0"/>
          <w:strike w:val="0"/>
          <w:noProof w:val="0"/>
          <w:color w:val="000000"/>
          <w:position w:val="0"/>
          <w:sz w:val="20"/>
          <w:u w:val="none"/>
          <w:vertAlign w:val="baseline"/>
        </w:rPr>
        <w:t xml:space="preserve"> (July 25, 2012) (SR-Phlx-2012-93), which describes a variety of options market data products and their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options data products and therefore constrain markets from overpricing proprietary options market data. Broker-dealers send their order flow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Options markets, similar to the equities markets, are highly fragmented.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Press Release, TABB Says US Equity Options Market Makers Need Scalable Technology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Today's Complex Market Structure (February 25, 2013), available at </w:t>
      </w:r>
      <w:hyperlink r:id="rId23" w:history="1">
        <w:r>
          <w:rPr>
            <w:rFonts w:ascii="arial" w:eastAsia="arial" w:hAnsi="arial" w:cs="arial"/>
            <w:b w:val="0"/>
            <w:i/>
            <w:strike w:val="0"/>
            <w:noProof w:val="0"/>
            <w:color w:val="0077CC"/>
            <w:position w:val="0"/>
            <w:sz w:val="20"/>
            <w:u w:val="single"/>
            <w:vertAlign w:val="baseline"/>
          </w:rPr>
          <w:t>http://www.tabbgroup.com/PageDetail.aspx?PageID=16&amp;ItemID=1231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Fragmentation Vexes Options Markets (April 21, 2014), available at </w:t>
      </w:r>
      <w:hyperlink r:id="rId24" w:history="1">
        <w:r>
          <w:rPr>
            <w:rFonts w:ascii="arial" w:eastAsia="arial" w:hAnsi="arial" w:cs="arial"/>
            <w:b w:val="0"/>
            <w:i/>
            <w:strike w:val="0"/>
            <w:noProof w:val="0"/>
            <w:color w:val="0077CC"/>
            <w:position w:val="0"/>
            <w:sz w:val="20"/>
            <w:u w:val="single"/>
            <w:vertAlign w:val="baseline"/>
          </w:rPr>
          <w:t>http://marketsmedia.com/fragmentation-vexes-options-market/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options market data products because they will contain greater quote and trade information. Conversely, if an exchange is less successful in attracting quotes, order flow, and trade executions, then its options market data products may be less desirable to customers using them in support of order routing and trading decisions in light of the diminished content; options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Arca Options Product unless their customers request it, and customers will not elect to pay the proposed fees unless NYSE Arca Options Product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Arca and NYSE Arca's affiliates New York Stock Exchange LLC ("NYSE") and NYSE MKT LLC ("NYSE MKT") was executed by market participants that purchased one or more proprietary market data products (the 20 firms were not the </w:t>
      </w:r>
      <w:r>
        <w:rPr>
          <w:rFonts w:ascii="arial" w:eastAsia="arial" w:hAnsi="arial" w:cs="arial"/>
          <w:b/>
          <w:i w:val="0"/>
          <w:strike w:val="0"/>
          <w:noProof w:val="0"/>
          <w:color w:val="000000"/>
          <w:position w:val="0"/>
          <w:sz w:val="20"/>
          <w:u w:val="none"/>
          <w:vertAlign w:val="baseline"/>
        </w:rPr>
        <w:t> [*3216] </w:t>
      </w:r>
      <w:r>
        <w:rPr>
          <w:rFonts w:ascii="arial" w:eastAsia="arial" w:hAnsi="arial" w:cs="arial"/>
          <w:b w:val="0"/>
          <w:i w:val="0"/>
          <w:strike w:val="0"/>
          <w:noProof w:val="0"/>
          <w:color w:val="000000"/>
          <w:position w:val="0"/>
          <w:sz w:val="20"/>
          <w:u w:val="none"/>
          <w:vertAlign w:val="baseline"/>
        </w:rPr>
        <w:t xml:space="preserv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n18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5"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6"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7"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13 options self-regulatory organization ("SRO") markets. Three of the 13 have launched operations since December 2012. n20 The Exchange believes that these new entrants demonstrate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robust.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70050 (July 26, 2013), </w:t>
      </w:r>
      <w:hyperlink r:id="rId28" w:history="1">
        <w:r>
          <w:rPr>
            <w:rFonts w:ascii="arial" w:eastAsia="arial" w:hAnsi="arial" w:cs="arial"/>
            <w:b w:val="0"/>
            <w:i/>
            <w:strike w:val="0"/>
            <w:noProof w:val="0"/>
            <w:color w:val="0077CC"/>
            <w:position w:val="0"/>
            <w:sz w:val="20"/>
            <w:u w:val="single"/>
            <w:vertAlign w:val="baseline"/>
          </w:rPr>
          <w:t>78 FR 46622</w:t>
        </w:r>
      </w:hyperlink>
      <w:r>
        <w:rPr>
          <w:rFonts w:ascii="arial" w:eastAsia="arial" w:hAnsi="arial" w:cs="arial"/>
          <w:b w:val="0"/>
          <w:i w:val="0"/>
          <w:strike w:val="0"/>
          <w:noProof w:val="0"/>
          <w:color w:val="000000"/>
          <w:position w:val="0"/>
          <w:sz w:val="20"/>
          <w:u w:val="none"/>
          <w:vertAlign w:val="baseline"/>
        </w:rPr>
        <w:t xml:space="preserve"> (August 1, 2013) (approving exchange registration for Topaz Exchange, LLC) (known as ISE Gemini); 68341 (December 3, 2012), </w:t>
      </w:r>
      <w:r>
        <w:rPr>
          <w:rFonts w:ascii="arial" w:eastAsia="arial" w:hAnsi="arial" w:cs="arial"/>
          <w:b w:val="0"/>
          <w:i/>
          <w:strike w:val="0"/>
          <w:noProof w:val="0"/>
          <w:color w:val="000000"/>
          <w:position w:val="0"/>
          <w:sz w:val="20"/>
          <w:u w:val="none"/>
          <w:vertAlign w:val="baseline"/>
        </w:rPr>
        <w:t>77 FR 73065</w:t>
      </w:r>
      <w:r>
        <w:rPr>
          <w:rFonts w:ascii="arial" w:eastAsia="arial" w:hAnsi="arial" w:cs="arial"/>
          <w:b w:val="0"/>
          <w:i w:val="0"/>
          <w:strike w:val="0"/>
          <w:noProof w:val="0"/>
          <w:color w:val="000000"/>
          <w:position w:val="0"/>
          <w:sz w:val="20"/>
          <w:u w:val="none"/>
          <w:vertAlign w:val="baseline"/>
        </w:rPr>
        <w:t xml:space="preserve"> (December 7, 2012) (approving exchange registration for Miami International Securities Exchange LLC ("Miami Exchange")); and 75650 (August 7, 2015), </w:t>
      </w:r>
      <w:hyperlink r:id="rId29" w:history="1">
        <w:r>
          <w:rPr>
            <w:rFonts w:ascii="arial" w:eastAsia="arial" w:hAnsi="arial" w:cs="arial"/>
            <w:b w:val="0"/>
            <w:i/>
            <w:strike w:val="0"/>
            <w:noProof w:val="0"/>
            <w:color w:val="0077CC"/>
            <w:position w:val="0"/>
            <w:sz w:val="20"/>
            <w:u w:val="single"/>
            <w:vertAlign w:val="baseline"/>
          </w:rPr>
          <w:t>80 FR 48600</w:t>
        </w:r>
      </w:hyperlink>
      <w:r>
        <w:rPr>
          <w:rFonts w:ascii="arial" w:eastAsia="arial" w:hAnsi="arial" w:cs="arial"/>
          <w:b w:val="0"/>
          <w:i w:val="0"/>
          <w:strike w:val="0"/>
          <w:noProof w:val="0"/>
          <w:color w:val="000000"/>
          <w:position w:val="0"/>
          <w:sz w:val="20"/>
          <w:u w:val="none"/>
          <w:vertAlign w:val="baseline"/>
        </w:rPr>
        <w:t xml:space="preserve"> (August 13, 2015) (establishing rules governing the trading of options on the EDGX options market).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n21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that currently produce proprietary data or are currently capable of producing it provides further pricing discipline for proprietary data products. Each SRO is currently permitted to produce and sell proprietary data products, and many currently do, including but not limited to the Exchange, NYSE MKT, CBOE, C2 Options Exchange, Inc., ISE, ISE Gemini, NASDAQ, PHLX, BX, BATS and Miami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and Direct Edge. As noted above, BATS launched as an ATS in 2006 and became an exchange in 2008, while Direct Edge began operations in 2007 and obtained exchange status in 2010. As noted above, three new options exchanges have launched operations since December 2012.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options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it has considered all relevant factors and has not considered irrelevant factors in order to </w:t>
      </w:r>
      <w:r>
        <w:rPr>
          <w:rFonts w:ascii="arial" w:eastAsia="arial" w:hAnsi="arial" w:cs="arial"/>
          <w:b/>
          <w:i w:val="0"/>
          <w:strike w:val="0"/>
          <w:noProof w:val="0"/>
          <w:color w:val="000000"/>
          <w:position w:val="0"/>
          <w:sz w:val="20"/>
          <w:u w:val="none"/>
          <w:vertAlign w:val="baseline"/>
        </w:rPr>
        <w:t> [*3217] </w:t>
      </w:r>
      <w:r>
        <w:rPr>
          <w:rFonts w:ascii="arial" w:eastAsia="arial" w:hAnsi="arial" w:cs="arial"/>
          <w:b w:val="0"/>
          <w:i w:val="0"/>
          <w:strike w:val="0"/>
          <w:noProof w:val="0"/>
          <w:color w:val="000000"/>
          <w:position w:val="0"/>
          <w:sz w:val="20"/>
          <w:u w:val="none"/>
          <w:vertAlign w:val="baseline"/>
        </w:rPr>
        <w:t xml:space="preserve">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n23 of the Act and subparagraph (f)(2) of Rule 19b-4 n24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n25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0"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1"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No. SR-NYSEArca-2015-130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No. SR-NYSEArca-2015-130. This file number should be included on the subject line if email is used. To help the Commission process and review your comments more efficiently, please use only one method. The Commission will post all comments on the Commission's Internet Web site (</w:t>
      </w:r>
      <w:hyperlink r:id="rId30"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No. SR-NYSEArca-2015-130, and should be submitted on or before February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32"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2016-00901 Filed 1-19-16;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3213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5H2Y-0Y10-006W-83P4-00000-00&amp;context=" TargetMode="External" /><Relationship Id="rId13" Type="http://schemas.openxmlformats.org/officeDocument/2006/relationships/hyperlink" Target="https://advance.lexis.com/api/document?collection=statutes-legislation&amp;id=urn:contentItem:4YF7-GPC1-NRF4-4309-00000-00&amp;context=" TargetMode="External" /><Relationship Id="rId14" Type="http://schemas.openxmlformats.org/officeDocument/2006/relationships/hyperlink" Target="https://advance.lexis.com/api/document?collection=administrative-codes&amp;id=urn:contentItem:58YY-BD30-006W-80HW-00000-00&amp;context=" TargetMode="External" /><Relationship Id="rId15" Type="http://schemas.openxmlformats.org/officeDocument/2006/relationships/hyperlink" Target="http://www.opradata.com/pdf/fee_schedule.pdf" TargetMode="External" /><Relationship Id="rId16" Type="http://schemas.openxmlformats.org/officeDocument/2006/relationships/hyperlink" Target="https://www.cboe.org/MDX/CSM/OBOOKMain.aspx" TargetMode="External" /><Relationship Id="rId17" Type="http://schemas.openxmlformats.org/officeDocument/2006/relationships/hyperlink" Target="http://www.nasdaqtrader.com/Micro.aspx?id=PHLXOrders" TargetMode="External" /><Relationship Id="rId18" Type="http://schemas.openxmlformats.org/officeDocument/2006/relationships/hyperlink" Target="http://www.nasdaqtrader.com/Trader.aspx?id=DPPriceListOptions#PHLX" TargetMode="External" /><Relationship Id="rId19" Type="http://schemas.openxmlformats.org/officeDocument/2006/relationships/hyperlink" Target="https://advance.lexis.com/api/document?collection=cases&amp;id=urn:contentItem:803V-DT30-YB0V-T01B-00000-00&amp;context=" TargetMode="External" /><Relationship Id="rId2" Type="http://schemas.openxmlformats.org/officeDocument/2006/relationships/webSettings" Target="webSettings.xml" /><Relationship Id="rId20" Type="http://schemas.openxmlformats.org/officeDocument/2006/relationships/hyperlink" Target="http://www.sec.gov/rules/concept/s72899/buck1.htm" TargetMode="External" /><Relationship Id="rId21" Type="http://schemas.openxmlformats.org/officeDocument/2006/relationships/hyperlink" Target="http://www.justice.gov/iso/opa/atr/speeches/2011/at-speech-110516.html" TargetMode="External" /><Relationship Id="rId22" Type="http://schemas.openxmlformats.org/officeDocument/2006/relationships/hyperlink" Target="https://advance.lexis.com/api/document?collection=administrative-codes&amp;id=urn:contentItem:5664-38F0-006W-82V9-00000-00&amp;context=" TargetMode="External" /><Relationship Id="rId23" Type="http://schemas.openxmlformats.org/officeDocument/2006/relationships/hyperlink" Target="http://www.tabbgroup.com/PageDetail.aspx?PageID=16&amp;ItemID=1231" TargetMode="External" /><Relationship Id="rId24" Type="http://schemas.openxmlformats.org/officeDocument/2006/relationships/hyperlink" Target="http://marketsmedia.com/fragmentation-vexes-options-market/" TargetMode="External" /><Relationship Id="rId25" Type="http://schemas.openxmlformats.org/officeDocument/2006/relationships/hyperlink" Target="https://advance.lexis.com/api/document?collection=administrative-codes&amp;id=urn:contentItem:5C6V-V6N0-006W-80W6-00000-00&amp;context=" TargetMode="External" /><Relationship Id="rId26" Type="http://schemas.openxmlformats.org/officeDocument/2006/relationships/hyperlink" Target="https://advance.lexis.com/api/document?collection=administrative-codes&amp;id=urn:contentItem:512C-NGP0-006W-82VF-00000-00&amp;context=" TargetMode="External" /><Relationship Id="rId27" Type="http://schemas.openxmlformats.org/officeDocument/2006/relationships/hyperlink" Target="https://advance.lexis.com/api/document?collection=administrative-codes&amp;id=urn:contentItem:512C-NGP0-006W-82VH-00000-00&amp;context=" TargetMode="External" /><Relationship Id="rId28" Type="http://schemas.openxmlformats.org/officeDocument/2006/relationships/hyperlink" Target="https://advance.lexis.com/api/document?collection=administrative-codes&amp;id=urn:contentItem:591F-71W0-006W-8191-00000-00&amp;context=" TargetMode="External" /><Relationship Id="rId29" Type="http://schemas.openxmlformats.org/officeDocument/2006/relationships/hyperlink" Target="https://advance.lexis.com/api/document?collection=administrative-codes&amp;id=urn:contentItem:5GNN-NXF0-006W-8399-00000-00&amp;context=" TargetMode="External" /><Relationship Id="rId3" Type="http://schemas.openxmlformats.org/officeDocument/2006/relationships/fontTable" Target="fontTable.xml" /><Relationship Id="rId30" Type="http://schemas.openxmlformats.org/officeDocument/2006/relationships/hyperlink" Target="http://www.sec.gov/rules/sro.shtml" TargetMode="External" /><Relationship Id="rId31" Type="http://schemas.openxmlformats.org/officeDocument/2006/relationships/hyperlink" Target="mailto:rule-comments@sec.gov" TargetMode="External" /><Relationship Id="rId32" Type="http://schemas.openxmlformats.org/officeDocument/2006/relationships/hyperlink" Target="https://advance.lexis.com/api/document?collection=administrative-codes&amp;id=urn:contentItem:5SPP-2120-008G-Y2ND-00000-00&amp;context=" TargetMode="Externa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WT-90T0-006W-847W-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51892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71343330</vt:lpwstr>
  </property>
  <property fmtid="{D5CDD505-2E9C-101B-9397-08002B2CF9AE}" pid="3" name="LADocCount">
    <vt:lpwstr>1</vt:lpwstr>
  </property>
  <property fmtid="{D5CDD505-2E9C-101B-9397-08002B2CF9AE}" pid="4" name="UserPermID">
    <vt:lpwstr>urn:user:PA185916758</vt:lpwstr>
  </property>
</Properties>
</file>