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34326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104, Tuesday, May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34326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American History and Civics Academies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History and Civics Academies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84.422A.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2016-12738 Filed 5-27-16;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June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American History and Civics Academies Program (Academies Program) supports the establishment of: (1) Presidential Academies for the Teaching of American History and Civics that offer workshops for both veteran and new teachers to strengthen their knowledge of American history and civics (Presidential Academies); and (2) Congressional Academies for Students of American History and Civics that provide high school students with opportunities to develop a broader and deeper understanding of these subjects (Congressional Academies).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10, 2015, the President signed into law the Every Student Succeeds Act (ESSA), Public Law 114-95, which reauthorized the Elementary and Secondary Education Act of 1965 (ESEA), as amended by the No Child Left Behind Act of 2001 (NCLB). Among other things, the ESSA amends part B of title II of the ESEA to include a reauthorized Academies program, which was previously authorized under the American History and Civics Education Act of 2004. Under section 5(c) of the ESSA, however, the amendments made by the ESSA to the ESEA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(including the Academies program) take effect beginning with FY 2017 appropriations. Accordingly, the Department will use the FY 2016 funds available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make Academies grants in accordance with the requirements of the American History and Civics Education Act of 2004, and not those of the ESEA, as amended by the ESSA. In addition, we intend to use FY 2016 funds to support the entire project period of awards made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expect that, consistent with section 5(c) of the ESSA, any funding provided by Congress in FY 2017 and future years for the Academies program would be for the new program as authorized by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who have an understanding of and engagement with American history and civics are more likely to be civically engaged and active participants in their community. n1 Moreover, students' understanding of American history and civics will likely be enhanced if their learning experiences are interesting, engaging, and relevant to students' perspectives and communities. It is therefore important to ensure that teachers have a thorough understanding of American history and civics and are well-equipped to implement effective teaching strategies that help their students master the necessary content knowledge and skills. Students who are engaged in learning in these content areas will be better equipped to be active members of their community and the world at large, and to participate fully in all forms of civic engagement.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American Academy of Arts and Sciences, The Heart of the Matter: The Humanities and Social Sciences for a Vibrant,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Secure Nation (2013) via </w:t>
      </w:r>
      <w:hyperlink r:id="rId10" w:history="1">
        <w:r>
          <w:rPr>
            <w:rFonts w:ascii="arial" w:eastAsia="arial" w:hAnsi="arial" w:cs="arial"/>
            <w:b w:val="0"/>
            <w:i/>
            <w:strike w:val="0"/>
            <w:noProof w:val="0"/>
            <w:color w:val="0077CC"/>
            <w:position w:val="0"/>
            <w:sz w:val="20"/>
            <w:u w:val="single"/>
            <w:vertAlign w:val="baseline"/>
          </w:rPr>
          <w:t>www.humanitiescommission.org/_pdf/hss_report.pdf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Campaign for the Civic Mission of Schools, "Guardian of Democracy: The Civic Mission of Schools," (2011), via </w:t>
      </w:r>
      <w:hyperlink r:id="rId11" w:history="1">
        <w:r>
          <w:rPr>
            <w:rFonts w:ascii="arial" w:eastAsia="arial" w:hAnsi="arial" w:cs="arial"/>
            <w:b w:val="0"/>
            <w:i/>
            <w:strike w:val="0"/>
            <w:noProof w:val="0"/>
            <w:color w:val="0077CC"/>
            <w:position w:val="0"/>
            <w:sz w:val="20"/>
            <w:u w:val="single"/>
            <w:vertAlign w:val="baseline"/>
          </w:rPr>
          <w:t>http://civicmission.s3.amazonaws.com/118/f0/5/171/1/Guardian-of-Democracy-report.pdf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studies indicate a critical need to improve teaching and learning in American history and civics. For example, only 18 percent of eighth-graders performed at or above the proficient level on the National Assessment of Educational Progress (NAEP) assessment in U.S. history, and only 23 percent performed at or above the proficient level on the NAEP assessment in civics.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U.S. Department of Education, Institute of Education Sciences, National Center for Education Statistics, National Assessment of Educational Progress (NAEP), The Nation's Report Card: 2014 U.S. History, Geography, and Civics at Grade 8 (NCES 2015112) via </w:t>
      </w:r>
      <w:hyperlink r:id="rId12" w:history="1">
        <w:r>
          <w:rPr>
            <w:rFonts w:ascii="arial" w:eastAsia="arial" w:hAnsi="arial" w:cs="arial"/>
            <w:b w:val="0"/>
            <w:i/>
            <w:strike w:val="0"/>
            <w:noProof w:val="0"/>
            <w:color w:val="0077CC"/>
            <w:position w:val="0"/>
            <w:sz w:val="20"/>
            <w:u w:val="single"/>
            <w:vertAlign w:val="baseline"/>
          </w:rPr>
          <w:t>www.nationsreportcard.gov/hgc_2014/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Academies Program supports projects to raise student achievement in American history and civics by improving teachers' and students' knowledge, understanding, and engagement with these subjects through intensive workshops with scholars, master teachers, and curriculum experts. Project activities should reflect the best available research and practice in teaching and learning. Presidential Academies will strive to enable teachers to develop further expertise in the content areas of American history and civics, teaching strategies, use of technologies, and other essential elements of teaching to rigorous college- and career-ready standards. Congressional Academies are intended to broaden and deepen students' interest in and understanding of American history and civics through the use of content-rich, engaging learning resources and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Offering a wide array of perspectives in teaching and learning American history and civics is essential to acknowledging students' rich and diverse perspectives and experiences, and to stimulating their long-term interest in these subjects. Accordingly, projects funded under this grant program might consider incorporating diverse historical perspectives and relying on an array of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historical documents, oral histories, and artifacts) that convey the full range of American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encourage applicants to consider projects that will focus on serving high-need students and students from underserved populations to help ensure that these students have access to high-quality, interactive instruction that will help them become college- and career-ready and be better prepared to participate fully in civic activities. In addition, applicants may want to consider projects that are designed to recruit teachers and students from the same schools and school districts in order to promote a seamless delivery of training and instruction into a target district and maximize project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expected to measure the impact of their projects on teacher development and student learning. Early findings from grantee evaluations are expected to help guide the grantee's subsequent teacher professional development and student learning efforts over the three-year project period.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absolute priorities and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Both absolute priorities are from the American Civics and History Education Act of 2004, Public Law 108-474.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priority is from the Secretary's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[*34327] </w:t>
      </w:r>
      <w:r>
        <w:rPr>
          <w:rFonts w:ascii="arial" w:eastAsia="arial" w:hAnsi="arial" w:cs="arial"/>
          <w:b w:val="0"/>
          <w:i w:val="0"/>
          <w:strike w:val="0"/>
          <w:noProof w:val="0"/>
          <w:color w:val="000000"/>
          <w:position w:val="0"/>
          <w:sz w:val="20"/>
          <w:u w:val="none"/>
          <w:vertAlign w:val="baseline"/>
        </w:rPr>
        <w:t xml:space="preserve"> December 10, 2014 at </w:t>
      </w:r>
      <w:hyperlink r:id="rId13"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priorities are absolute priorities. Under 34 CFR 75.105(c)(3), we consider only applications that meet both of the following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1--Presidential Academies for the Teaching of American History and Civics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an applicant must propose to establish a Presidential Academy for Teaching of American History and Civics that may offer workshops for both veteran and new teachers of American history and civics.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2--Congressional Academies for Students of American History and Civics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an applicant must propose to establish a Congressional Academy for Students of American History and Civics.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34 CFR 75.105(c)(2)(ii) we award up to an additional 10 points to an application depending on how well the application meets this priority. If an applicant wishes to be considered for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it must clearly identify where in the project narrative section of its application it addresses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Priority--Supporting High-Need Students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academic outcomes for high-need students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the Supplemental Priorities and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Elementary and Secondary Education Act of 1965, as amended (ESEA).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American History and Civics Education Act of 2004, Pub. Law 108-474.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$ 1,785,000.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$ 600,000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36 months. The Department intends to fund the entire project period of a grant with FY 2016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Eligible applicants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educational agencies;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 of higher education;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public and private agencies, organizations, and institutions, including cultural institutions and museums.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to receive an award, an applicant must include in its application evidence of its expertise in historical methodology or the teaching of history.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If more than one eligible entity wishes to form a consortium and jointly submit a single application, they must follow the procedures for group applications described in 34 CFR 75.127 through 34 CFR 75.129.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Christine Miller, U.S. Department of Education, 400 Maryland Avenue SW., Room 4W205, Washington, DC 20202-5970. Telephone: (202) 453-6740 or by email: </w:t>
      </w:r>
      <w:hyperlink r:id="rId14" w:history="1">
        <w:r>
          <w:rPr>
            <w:rFonts w:ascii="arial" w:eastAsia="arial" w:hAnsi="arial" w:cs="arial"/>
            <w:b w:val="0"/>
            <w:i/>
            <w:strike w:val="0"/>
            <w:noProof w:val="0"/>
            <w:color w:val="0077CC"/>
            <w:position w:val="0"/>
            <w:sz w:val="20"/>
            <w:u w:val="single"/>
            <w:vertAlign w:val="baseline"/>
          </w:rPr>
          <w:t>Christine.Miller@ed.gov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the Department by sending a short email message indicating the applicant's intent to submit an application for funding. The email need not include information regarding the content of the proposed application, only the applicant's intent to submit it. The Department requests that this email notification be sent to the Academies Program inbox at: </w:t>
      </w:r>
      <w:hyperlink r:id="rId15" w:history="1">
        <w:r>
          <w:rPr>
            <w:rFonts w:ascii="arial" w:eastAsia="arial" w:hAnsi="arial" w:cs="arial"/>
            <w:b w:val="0"/>
            <w:i/>
            <w:strike w:val="0"/>
            <w:noProof w:val="0"/>
            <w:color w:val="0077CC"/>
            <w:position w:val="0"/>
            <w:sz w:val="20"/>
            <w:u w:val="single"/>
            <w:vertAlign w:val="baseline"/>
          </w:rPr>
          <w:t>Academies@ed.gov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fail to provide this email notification may still apply for funding. </w:t>
      </w:r>
      <w:r>
        <w:rPr>
          <w:rFonts w:ascii="arial" w:eastAsia="arial" w:hAnsi="arial" w:cs="arial"/>
          <w:b/>
          <w:i w:val="0"/>
          <w:strike w:val="0"/>
          <w:noProof w:val="0"/>
          <w:color w:val="000000"/>
          <w:position w:val="0"/>
          <w:sz w:val="20"/>
          <w:u w:val="none"/>
          <w:vertAlign w:val="baseline"/>
        </w:rPr>
        <w:t> [*34328]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limit the application narrative to no more than 50 pages, using the following standards: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However, you may single space all text in charts, tables, figures, and graphs.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one-page abstract, the resumes, the bibliography, or the letters of support. However, the recommended page limit does apply to all of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Academies Program,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post the project narrative section of funded Academies Program applications on our Web site, you may wish to request confidentiality of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30,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June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2 CFR 200, subpart 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6"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1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unless you qualify for an exception to this requirement in accordance with the instructions in this section. </w:t>
      </w:r>
      <w:r>
        <w:rPr>
          <w:rFonts w:ascii="arial" w:eastAsia="arial" w:hAnsi="arial" w:cs="arial"/>
          <w:b/>
          <w:i w:val="0"/>
          <w:strike w:val="0"/>
          <w:noProof w:val="0"/>
          <w:color w:val="000000"/>
          <w:position w:val="0"/>
          <w:sz w:val="20"/>
          <w:u w:val="none"/>
          <w:vertAlign w:val="baseline"/>
        </w:rPr>
        <w:t> [*34329]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Academies Program, CFDA 84.422, must be submitted electronically using the Government 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Academies Program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84.422, not 84.422A).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[*34330] </w:t>
      </w:r>
      <w:r>
        <w:rPr>
          <w:rFonts w:ascii="arial" w:eastAsia="arial" w:hAnsi="arial" w:cs="arial"/>
          <w:b w:val="0"/>
          <w:i w:val="0"/>
          <w:strike w:val="0"/>
          <w:noProof w:val="0"/>
          <w:color w:val="000000"/>
          <w:position w:val="0"/>
          <w:sz w:val="20"/>
          <w:u w:val="none"/>
          <w:vertAlign w:val="baseline"/>
        </w:rPr>
        <w:t xml:space="preserve">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Christine Miller, U.S. Department of Education, 400 Maryland Avenue SW., Room 4W205, Washington, DC 20202-5960.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84.422A),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84.422A),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34 CFR 75.210. An applicant may earn up to a total of 100 points based on the selection criteria. The maximum score for addressing each criterion is indicated in parentheses. Each criterion also includes the factors that the reviewers will consider in determining how well an application addresses the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 (up to 35 points).</w:t>
      </w:r>
      <w:r>
        <w:rPr>
          <w:rFonts w:ascii="arial" w:eastAsia="arial" w:hAnsi="arial" w:cs="arial"/>
          <w:b w:val="0"/>
          <w:i w:val="0"/>
          <w:strike w:val="0"/>
          <w:noProof w:val="0"/>
          <w:color w:val="000000"/>
          <w:position w:val="0"/>
          <w:sz w:val="20"/>
          <w:u w:val="none"/>
          <w:vertAlign w:val="baseline"/>
        </w:rPr>
        <w:t xml:space="preserve">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design of the proposed project reflects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Significance (20 points).</w:t>
      </w:r>
      <w:r>
        <w:rPr>
          <w:rFonts w:ascii="arial" w:eastAsia="arial" w:hAnsi="arial" w:cs="arial"/>
          <w:b w:val="0"/>
          <w:i w:val="0"/>
          <w:strike w:val="0"/>
          <w:noProof w:val="0"/>
          <w:color w:val="000000"/>
          <w:position w:val="0"/>
          <w:sz w:val="20"/>
          <w:u w:val="none"/>
          <w:vertAlign w:val="baseline"/>
        </w:rPr>
        <w:t xml:space="preserve">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is likely to build local capacity to provide, improve, or expand services that address the needs of the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importance or magnitude of the results or outcomes likely to be attained by the proposed project, especially improvements in teaching and student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 (30 points).</w:t>
      </w:r>
      <w:r>
        <w:rPr>
          <w:rFonts w:ascii="arial" w:eastAsia="arial" w:hAnsi="arial" w:cs="arial"/>
          <w:b w:val="0"/>
          <w:i w:val="0"/>
          <w:strike w:val="0"/>
          <w:noProof w:val="0"/>
          <w:color w:val="000000"/>
          <w:position w:val="0"/>
          <w:sz w:val="20"/>
          <w:u w:val="none"/>
          <w:vertAlign w:val="baseline"/>
        </w:rPr>
        <w:t xml:space="preserve">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 (15 points).</w:t>
      </w:r>
      <w:r>
        <w:rPr>
          <w:rFonts w:ascii="arial" w:eastAsia="arial" w:hAnsi="arial" w:cs="arial"/>
          <w:b w:val="0"/>
          <w:i w:val="0"/>
          <w:strike w:val="0"/>
          <w:noProof w:val="0"/>
          <w:color w:val="000000"/>
          <w:position w:val="0"/>
          <w:sz w:val="20"/>
          <w:u w:val="none"/>
          <w:vertAlign w:val="baseline"/>
        </w:rPr>
        <w:t xml:space="preserve"> In determining the quality of </w:t>
      </w:r>
      <w:r>
        <w:rPr>
          <w:rFonts w:ascii="arial" w:eastAsia="arial" w:hAnsi="arial" w:cs="arial"/>
          <w:b/>
          <w:i w:val="0"/>
          <w:strike w:val="0"/>
          <w:noProof w:val="0"/>
          <w:color w:val="000000"/>
          <w:position w:val="0"/>
          <w:sz w:val="20"/>
          <w:u w:val="none"/>
          <w:vertAlign w:val="baseline"/>
        </w:rPr>
        <w:t> [*34331] </w:t>
      </w:r>
      <w:r>
        <w:rPr>
          <w:rFonts w:ascii="arial" w:eastAsia="arial" w:hAnsi="arial" w:cs="arial"/>
          <w:b w:val="0"/>
          <w:i w:val="0"/>
          <w:strike w:val="0"/>
          <w:noProof w:val="0"/>
          <w:color w:val="000000"/>
          <w:position w:val="0"/>
          <w:sz w:val="20"/>
          <w:u w:val="none"/>
          <w:vertAlign w:val="baseline"/>
        </w:rPr>
        <w:t xml:space="preserve"> project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3"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established the following Government Performance and Results Act of 1993 (GPRA) performance objective for the Academies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will demonstrate through pre- and post-assessments an increased understanding of American history and civics that can be directly linked to their participation in the Presidential Academy or Congressional Academy.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track performance on this objective through the following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Presidential Academies:</w:t>
      </w:r>
      <w:r>
        <w:rPr>
          <w:rFonts w:ascii="arial" w:eastAsia="arial" w:hAnsi="arial" w:cs="arial"/>
          <w:b w:val="0"/>
          <w:i w:val="0"/>
          <w:strike w:val="0"/>
          <w:noProof w:val="0"/>
          <w:color w:val="000000"/>
          <w:position w:val="0"/>
          <w:sz w:val="20"/>
          <w:u w:val="none"/>
          <w:vertAlign w:val="baseline"/>
        </w:rPr>
        <w:t xml:space="preserve"> The average percentage gain on an assessment after participation in the Presidential Academy.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Congressional Academies:</w:t>
      </w:r>
      <w:r>
        <w:rPr>
          <w:rFonts w:ascii="arial" w:eastAsia="arial" w:hAnsi="arial" w:cs="arial"/>
          <w:b w:val="0"/>
          <w:i w:val="0"/>
          <w:strike w:val="0"/>
          <w:noProof w:val="0"/>
          <w:color w:val="000000"/>
          <w:position w:val="0"/>
          <w:sz w:val="20"/>
          <w:u w:val="none"/>
          <w:vertAlign w:val="baseline"/>
        </w:rPr>
        <w:t xml:space="preserve"> The average percentage gain on an assessment after participation in the Congressional Academy.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advise an applicant for a grant under this program to give careful consideration to these indicators in conceptualizing the approach and evaluation of its proposed project. Each grantee will be required to provide, in its annual and final performance reports, data about its performance with respect to the performance objective and these indicators.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Christine Miller, U.S. Department of Education, 400 Maryland Avenue SW., Room 4W205, Washington, DC 20202-5960, telephone (202) 453-6740. Or by email: </w:t>
      </w:r>
      <w:hyperlink r:id="rId15" w:history="1">
        <w:r>
          <w:rPr>
            <w:rFonts w:ascii="arial" w:eastAsia="arial" w:hAnsi="arial" w:cs="arial"/>
            <w:b w:val="0"/>
            <w:i/>
            <w:strike w:val="0"/>
            <w:noProof w:val="0"/>
            <w:color w:val="0077CC"/>
            <w:position w:val="0"/>
            <w:sz w:val="20"/>
            <w:u w:val="single"/>
            <w:vertAlign w:val="baseline"/>
          </w:rPr>
          <w:t>Academies@ed.gov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34326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humanitiescommission.org/_pdf/hss_report.pdf" TargetMode="External" /><Relationship Id="rId11" Type="http://schemas.openxmlformats.org/officeDocument/2006/relationships/hyperlink" Target="http://civicmission.s3.amazonaws.com/118/f0/5/171/1/Guardian-of-Democracy-report.pdf" TargetMode="External" /><Relationship Id="rId12" Type="http://schemas.openxmlformats.org/officeDocument/2006/relationships/hyperlink" Target="http://www.nationsreportcard.gov/hgc_2014/" TargetMode="External" /><Relationship Id="rId13" Type="http://schemas.openxmlformats.org/officeDocument/2006/relationships/hyperlink" Target="https://advance.lexis.com/api/document?collection=administrative-codes&amp;id=urn:contentItem:5DT7-0130-006W-81YP-00000-00&amp;context=" TargetMode="External" /><Relationship Id="rId14" Type="http://schemas.openxmlformats.org/officeDocument/2006/relationships/hyperlink" Target="mailto:Christine.Miller@ed.gov" TargetMode="External" /><Relationship Id="rId15" Type="http://schemas.openxmlformats.org/officeDocument/2006/relationships/hyperlink" Target="mailto:Academies@ed.gov" TargetMode="External" /><Relationship Id="rId16" Type="http://schemas.openxmlformats.org/officeDocument/2006/relationships/hyperlink" Target="http://fedgov.dnb.com/webform" TargetMode="External" /><Relationship Id="rId17" Type="http://schemas.openxmlformats.org/officeDocument/2006/relationships/hyperlink" Target="http://www.SAM.gov" TargetMode="External" /><Relationship Id="rId18" Type="http://schemas.openxmlformats.org/officeDocument/2006/relationships/hyperlink" Target="http://www2.ed.gov/fund/grant/apply/sam-faqs.html" TargetMode="External" /><Relationship Id="rId19" Type="http://schemas.openxmlformats.org/officeDocument/2006/relationships/hyperlink" Target="http://www.grants.gov/web/grants/register.html" TargetMode="External" /><Relationship Id="rId2" Type="http://schemas.openxmlformats.org/officeDocument/2006/relationships/webSettings" Target="webSettings.xml" /><Relationship Id="rId20" Type="http://schemas.openxmlformats.org/officeDocument/2006/relationships/hyperlink" Target="http://www.Grants.gov" TargetMode="External" /><Relationship Id="rId21" Type="http://schemas.openxmlformats.org/officeDocument/2006/relationships/hyperlink" Target="http://www.G5.gov" TargetMode="External" /><Relationship Id="rId22" Type="http://schemas.openxmlformats.org/officeDocument/2006/relationships/hyperlink" Target="http://www.grants.gov/web/grants/applicants/apply-for-grants.html" TargetMode="External" /><Relationship Id="rId23" Type="http://schemas.openxmlformats.org/officeDocument/2006/relationships/hyperlink" Target="http://www.ed.gov/fund/grant/apply/appforms/appforms.html"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WY-VP90-006W-83DG-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