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013, Thursday, January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Amending the Fees for NYSE Arca Integrated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34-76914; File No. SR-NYSEArca-2016-03]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4, 2016, NYSE Arca, Inc. (the "Exchange" or "NYSE Arca") filed with the Securities and Exchange Commission (the "Commission" and "SEC")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[sic] NYSE Arca Integrated Feed to: (1) Establish a multiple data feed fee; and (2) discontinue fees relating to managed non-display.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Arca Integrated Feed market data product, n4 as set forth on the NYSE Arca Equities Proprietary Market Data Fee Schedule ("Fee Schedule"). The Exchange proposes to make the following fee changes effective January 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66128 (Jan. 10, 2012), </w:t>
      </w:r>
      <w:hyperlink r:id="rId12" w:history="1">
        <w:r>
          <w:rPr>
            <w:rFonts w:ascii="arial" w:eastAsia="arial" w:hAnsi="arial" w:cs="arial"/>
            <w:b w:val="0"/>
            <w:i/>
            <w:strike w:val="0"/>
            <w:noProof w:val="0"/>
            <w:color w:val="0077CC"/>
            <w:position w:val="0"/>
            <w:sz w:val="20"/>
            <w:u w:val="single"/>
            <w:vertAlign w:val="baseline"/>
          </w:rPr>
          <w:t>77 FR 2331</w:t>
        </w:r>
      </w:hyperlink>
      <w:r>
        <w:rPr>
          <w:rFonts w:ascii="arial" w:eastAsia="arial" w:hAnsi="arial" w:cs="arial"/>
          <w:b w:val="0"/>
          <w:i w:val="0"/>
          <w:strike w:val="0"/>
          <w:noProof w:val="0"/>
          <w:color w:val="000000"/>
          <w:position w:val="0"/>
          <w:sz w:val="20"/>
          <w:u w:val="none"/>
          <w:vertAlign w:val="baseline"/>
        </w:rPr>
        <w:t xml:space="preserve"> (Jan. 17, 2012) (SR-NYSEArca-2011-96); 69315 (April 5, 2013), </w:t>
      </w:r>
      <w:hyperlink r:id="rId13"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(April 11, 2013) (SR-NYSEArca-2013-37) ("2013 Non-Display Filing"); 73011 (Sept. 5, 2014), </w:t>
      </w:r>
      <w:hyperlink r:id="rId14"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 11, 2014) (SR-NYSEArca-2014-93) ("2014 Non-Display Filing"); and 73993 (Jan. 6, 2015), </w:t>
      </w:r>
      <w:hyperlink r:id="rId15" w:history="1">
        <w:r>
          <w:rPr>
            <w:rFonts w:ascii="arial" w:eastAsia="arial" w:hAnsi="arial" w:cs="arial"/>
            <w:b w:val="0"/>
            <w:i/>
            <w:strike w:val="0"/>
            <w:noProof w:val="0"/>
            <w:color w:val="0077CC"/>
            <w:position w:val="0"/>
            <w:sz w:val="20"/>
            <w:u w:val="single"/>
            <w:vertAlign w:val="baseline"/>
          </w:rPr>
          <w:t>80 FR 1527</w:t>
        </w:r>
      </w:hyperlink>
      <w:r>
        <w:rPr>
          <w:rFonts w:ascii="arial" w:eastAsia="arial" w:hAnsi="arial" w:cs="arial"/>
          <w:b w:val="0"/>
          <w:i w:val="0"/>
          <w:strike w:val="0"/>
          <w:noProof w:val="0"/>
          <w:color w:val="000000"/>
          <w:position w:val="0"/>
          <w:sz w:val="20"/>
          <w:u w:val="none"/>
          <w:vertAlign w:val="baseline"/>
        </w:rPr>
        <w:t xml:space="preserve"> (Jan. 12, 2015) (SR-NYSEArca-2014-147).</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text of footnote 5 in Exhibit 5 of this proposed rule change was previously filed under a separate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SR-NYSEArca-2016-01 (Proposed Rule Change to Amend the Fees for NYSE ArcaBook).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Arca Integrated Feed in more than two locations would be charged $ 200 per additional location per product per month. No new reporting would be required.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Arca Integrated Feed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Arca market data means accessing, processing, or consuming NYSE Arca market data delivered via direct and/or Redistributor n7 data feeds for a purpose other than in support of a data recipient's display usage or further internal or external redistribution. n8 Managed Non-Display Services fees apply when a data recipient's non-display applications are hosted by a Redistributor that has been approved for Managed Non-Display Services. n9 A Redistributor approved for Managed Non-Display Services manages and controls the access to NYSE Arca Integrated Feed and does not allow for further internal distribution or external redistribution of NYSE Arca Integrated Feed by the data recipients. A Redistributor approved for Managed Non-Display Services is required to report to NYSE Arca on a monthly basis the data recipients that are receiving NYSE Arca market data through the Redistributor's managed non-display service and the real-time NYSE Arca market data products that such data recipients are receiving through such service. Recipients of data through Managed Non-Display Service have no additional reporting requirements. Data recipients that receive NYSE Arca Integrated Feed from an approved Redistributor of Managed Non-Display Services are charged a Managed Non-Display Services Fee of $ 2,500 per month. Data recipients that receive NYSE Arca Integrated Feed from an approved Redistributor of Managed Non-Display Services are also charged an Access Fee of $ 1,500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"Redistributor" means a vendor or any other person that provides an NYSE Arca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To be approved for Managed Non-Display Services, a Redistributor must manage and control the access to NYSE Arca Integrated Feed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Arca Integrated Feed in the Redistributor's own messaging formats (rather than using raw NYSE Arca message formats) by reformatting and/or altering NYSE Arca Integrated Feed prior to retransmission without affecting the integrity of NYSE Arca Integrated Feed and without rendering NYSE Arca Integrated Feed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Arca Integrated Feed on a managed non-display basis would be subject to the same access fee of $ 3,000 per month, and the same non-display services fees, n10 as other non-display data recipients.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order to harmonize its approach to fees for its market data products, the Exchange is simultaneously proposing to remove fees related to Managed Non-Display Services for NYSE ArcaBook, and NYSE Arca BBO and NYSE Arca Trades.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SR-NYSEArca-2016-01 and SR-NYSEArca-2016-02. </w:t>
      </w:r>
      <w:r>
        <w:rPr>
          <w:rFonts w:ascii="arial" w:eastAsia="arial" w:hAnsi="arial" w:cs="arial"/>
          <w:b/>
          <w:i w:val="0"/>
          <w:strike w:val="0"/>
          <w:noProof w:val="0"/>
          <w:color w:val="000000"/>
          <w:position w:val="0"/>
          <w:sz w:val="20"/>
          <w:u w:val="none"/>
          <w:vertAlign w:val="baseline"/>
        </w:rPr>
        <w:t> [*3485]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Non-Substantive Change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fees for NYSE Arca Integrated Feed include the Non-Display Use of NYSE ArcaBook, NYSE Arca BBO and NYSE Arca Trades for customers paying NYSE Arca Integrated Feed non-display fees that also pay access fees for NYSE ArcaBook, NYSE Arca BBO and NYSE Arca Trades. n12 The Exchange proposes to describe this application of the Non-Display Use fees in note 1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21671.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n13 in general, and Sections 6(b)(4) and 6(b)(5) of the Act, n14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6"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Arca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for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n15 The Exchange also notes that the OPRA Plan imposes a similar charge of $ 100 per connection for circuit connections in addition to the primary and backup connections.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7"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[sic] at </w:t>
      </w:r>
      <w:hyperlink r:id="rId18"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As the Exchange noted in the 2013 Non-Display Filing, the Exchange determined at that time that its fee structure, which was then based primarily on counting both display and non-display devices, was no longer appropriate in light of market and technology developments. Since then, the Exchange also modified its approach to display and non-display fees with changes to the fees as reflected in the 2014 Non-Display Filing. n17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Non-Substantive Changes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adding a note to the Fee Schedule to reflect that Non-Display Use fees for NYSE Arca Integrated Feed include the Non-Display Use of NYSE ArcaBook, NYSE Arca BBO and NYSE Arca Trades for customers paying NYSE Arca Integrated Feed non-display fees that are also paying access fees for NYSE ArcaBook, NYSE Arca BBO and NYSE Arca Trades will remove impediments to and help perfect a free and open market by providing greater transparency for the Exchange's customers regarding the application of non-display use fees that have been previously filed with the Commission and are applicable to the existing Fee Schedule.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20976.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 Integrated Feed is entirely optional. The Exchange is not required to make NYSE Arca Integrated Feed available or to offer any specific pricing alternatives to any customers, nor is any firm required to purchase NYSE Arca Integrated Feed. Firms that do purchase NYSE Arca Integrated Feed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 Integrated Feed or any other similar products are attractively priced or not.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Arca Integrated Feed have a variety of alternative market data products from which to choose, n20 or if NYSE Arca Integrated Feed do [sic] not provide sufficient value to firms as offered based on the uses those firms have or planned to make of it, such firms may simply choose to conduct their business operations in ways that do not use NYSE Arca Integrated Feed or use it at different levels or in different configurations. The Exchange notes that broker-dealers are not required to purchase proprietary market data to comply with their best execution obligations.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BATS Rule 11.22.(a) and (c) (BATS TCP Pitch and Multicast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 </w:t>
      </w:r>
      <w:r>
        <w:rPr>
          <w:rFonts w:ascii="arial" w:eastAsia="arial" w:hAnsi="arial" w:cs="arial"/>
          <w:b/>
          <w:i w:val="0"/>
          <w:strike w:val="0"/>
          <w:noProof w:val="0"/>
          <w:color w:val="000000"/>
          <w:position w:val="0"/>
          <w:sz w:val="20"/>
          <w:u w:val="none"/>
          <w:vertAlign w:val="baseline"/>
        </w:rPr>
        <w:t> [*3486]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n25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Concept Release on Equity Market Structure, Securities Exchange Act Release No. 61358 (Jan. 14, 2010), </w:t>
      </w:r>
      <w:hyperlink r:id="rId22"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2"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w:t>
      </w:r>
      <w:r>
        <w:rPr>
          <w:rFonts w:ascii="arial" w:eastAsia="arial" w:hAnsi="arial" w:cs="arial"/>
          <w:b/>
          <w:i w:val="0"/>
          <w:strike w:val="0"/>
          <w:noProof w:val="0"/>
          <w:color w:val="000000"/>
          <w:position w:val="0"/>
          <w:sz w:val="20"/>
          <w:u w:val="none"/>
          <w:vertAlign w:val="baseline"/>
        </w:rPr>
        <w:t> [*3487] </w:t>
      </w:r>
      <w:r>
        <w:rPr>
          <w:rFonts w:ascii="arial" w:eastAsia="arial" w:hAnsi="arial" w:cs="arial"/>
          <w:b w:val="0"/>
          <w:i w:val="0"/>
          <w:strike w:val="0"/>
          <w:noProof w:val="0"/>
          <w:color w:val="000000"/>
          <w:position w:val="0"/>
          <w:sz w:val="20"/>
          <w:u w:val="none"/>
          <w:vertAlign w:val="baseline"/>
        </w:rPr>
        <w:t xml:space="preserv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Arca Integrated Feed unless their customers request it, and customers will not elect to pay the proposed fees unless NYSE Arca Integrated Feed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Arca and NYSE Arca's affiliates New York Stock Exchange LLC ("NYSE") and NYSE MKT LLC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n27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4"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5"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6"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w:t>
      </w:r>
      <w:r>
        <w:rPr>
          <w:rFonts w:ascii="arial" w:eastAsia="arial" w:hAnsi="arial" w:cs="arial"/>
          <w:b/>
          <w:i w:val="0"/>
          <w:strike w:val="0"/>
          <w:noProof w:val="0"/>
          <w:color w:val="000000"/>
          <w:position w:val="0"/>
          <w:sz w:val="20"/>
          <w:u w:val="none"/>
          <w:vertAlign w:val="baseline"/>
        </w:rPr>
        <w:t> [*3488] </w:t>
      </w:r>
      <w:r>
        <w:rPr>
          <w:rFonts w:ascii="arial" w:eastAsia="arial" w:hAnsi="arial" w:cs="arial"/>
          <w:b w:val="0"/>
          <w:i w:val="0"/>
          <w:strike w:val="0"/>
          <w:noProof w:val="0"/>
          <w:color w:val="000000"/>
          <w:position w:val="0"/>
          <w:sz w:val="20"/>
          <w:u w:val="none"/>
          <w:vertAlign w:val="baseline"/>
        </w:rPr>
        <w:t xml:space="preserve">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n29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MKT, NYSE,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Arca Integrated Feed,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n30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 [sic] changes to the fees for the NYSE Arca Integrated Feed,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n31 of the Act and subparagraph (f)(2) of Rule 19b-4 n32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n33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SR-NYSEArca-2016-03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SR-NYSEArca-2016-03. This file number should be included on the subject line if email is used. To help the Commission process and review your comments more efficiently, please use only one method. The Commission will post all comments on the Commission's Internet Web site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w:t>
      </w:r>
      <w:r>
        <w:rPr>
          <w:rFonts w:ascii="arial" w:eastAsia="arial" w:hAnsi="arial" w:cs="arial"/>
          <w:b/>
          <w:i w:val="0"/>
          <w:strike w:val="0"/>
          <w:noProof w:val="0"/>
          <w:color w:val="000000"/>
          <w:position w:val="0"/>
          <w:sz w:val="20"/>
          <w:u w:val="none"/>
          <w:vertAlign w:val="baseline"/>
        </w:rPr>
        <w:t> [*3489] </w:t>
      </w:r>
      <w:r>
        <w:rPr>
          <w:rFonts w:ascii="arial" w:eastAsia="arial" w:hAnsi="arial" w:cs="arial"/>
          <w:b w:val="0"/>
          <w:i w:val="0"/>
          <w:strike w:val="0"/>
          <w:noProof w:val="0"/>
          <w:color w:val="000000"/>
          <w:position w:val="0"/>
          <w:sz w:val="20"/>
          <w:u w:val="none"/>
          <w:vertAlign w:val="baseline"/>
        </w:rPr>
        <w:t xml:space="preserve"> the Commission does not edit personal identifying information from submissions. You should submit only information that you wish to make available publicly. All submissions should refer to File Number SR-NYSEArca-2016-03 and should be submitted on or before February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2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2016-01063 Filed 1-20-16;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4RK-HNF0-006W-8203-00000-00&amp;context=" TargetMode="External" /><Relationship Id="rId13" Type="http://schemas.openxmlformats.org/officeDocument/2006/relationships/hyperlink" Target="https://advance.lexis.com/api/document?collection=administrative-codes&amp;id=urn:contentItem:585J-J500-006W-84DC-00000-00&amp;context=" TargetMode="External" /><Relationship Id="rId14" Type="http://schemas.openxmlformats.org/officeDocument/2006/relationships/hyperlink" Target="https://advance.lexis.com/api/document?collection=administrative-codes&amp;id=urn:contentItem:5D41-YDV0-006W-83CB-00000-00&amp;context=" TargetMode="External" /><Relationship Id="rId15" Type="http://schemas.openxmlformats.org/officeDocument/2006/relationships/hyperlink" Target="https://advance.lexis.com/api/document?collection=administrative-codes&amp;id=urn:contentItem:5F27-YGX0-006W-84S8-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administrative-codes&amp;id=urn:contentItem:58YY-BD30-006W-80HW-00000-00&amp;context=" TargetMode="External" /><Relationship Id="rId18" Type="http://schemas.openxmlformats.org/officeDocument/2006/relationships/hyperlink" Target="http://www.opradata.com/pdf/fee_schedule.pdf" TargetMode="External" /><Relationship Id="rId19" Type="http://schemas.openxmlformats.org/officeDocument/2006/relationships/hyperlink" Target="https://advance.lexis.com/api/document?collection=cases&amp;id=urn:contentItem:803V-DT30-YB0V-T01B-00000-00&amp;context=" TargetMode="External" /><Relationship Id="rId2" Type="http://schemas.openxmlformats.org/officeDocument/2006/relationships/webSettings" Target="webSettings.xml" /><Relationship Id="rId20" Type="http://schemas.openxmlformats.org/officeDocument/2006/relationships/hyperlink" Target="http://www.sec.gov/rules/concept/s72899/buck1.htm" TargetMode="External" /><Relationship Id="rId21" Type="http://schemas.openxmlformats.org/officeDocument/2006/relationships/hyperlink" Target="http://www.justice.gov/iso/opa/atr/speeches/2011/at-speech-110516.html" TargetMode="External" /><Relationship Id="rId22" Type="http://schemas.openxmlformats.org/officeDocument/2006/relationships/hyperlink" Target="https://advance.lexis.com/api/document?collection=administrative-codes&amp;id=urn:contentItem:4Y6T-4FW0-006W-80SB-00000-00&amp;context=" TargetMode="External" /><Relationship Id="rId23" Type="http://schemas.openxmlformats.org/officeDocument/2006/relationships/hyperlink" Target="https://www.arcavision.com/Arcavision/arcalogin.jsp" TargetMode="External" /><Relationship Id="rId24" Type="http://schemas.openxmlformats.org/officeDocument/2006/relationships/hyperlink" Target="https://advance.lexis.com/api/document?collection=administrative-codes&amp;id=urn:contentItem:5C6V-V6N0-006W-80W6-00000-00&amp;context=" TargetMode="External" /><Relationship Id="rId25" Type="http://schemas.openxmlformats.org/officeDocument/2006/relationships/hyperlink" Target="https://advance.lexis.com/api/document?collection=administrative-codes&amp;id=urn:contentItem:512C-NGP0-006W-82VF-00000-00&amp;context=" TargetMode="External" /><Relationship Id="rId26" Type="http://schemas.openxmlformats.org/officeDocument/2006/relationships/hyperlink" Target="https://advance.lexis.com/api/document?collection=administrative-codes&amp;id=urn:contentItem:512C-NGP0-006W-82VH-00000-00&amp;context=" TargetMode="External" /><Relationship Id="rId27" Type="http://schemas.openxmlformats.org/officeDocument/2006/relationships/hyperlink" Target="http://www.sec.gov/rules/sro.shtml" TargetMode="External" /><Relationship Id="rId28" Type="http://schemas.openxmlformats.org/officeDocument/2006/relationships/hyperlink" Target="mailto:rule-comments@sec.gov" TargetMode="External" /><Relationship Id="rId29" Type="http://schemas.openxmlformats.org/officeDocument/2006/relationships/hyperlink" Target="https://advance.lexis.com/api/document?collection=administrative-codes&amp;id=urn:contentItem:5SPP-2120-008G-Y2ND-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X1-G1G0-006W-84FR-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3484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