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Amending the Fees for NYSE MKT Order Imbalances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34-76911; File No. SR-NYSEMKT-2016-05]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Order Imbalances to: (1) Establish a multiple data feed fee; and (2) discontinue fees relating to managed non-display.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Order Imbalances n4 as set forth on the NYSE MKT Equities Proprietary Market Data Fee Schedule ("Fee Schedule"). The Exchange proposes to make the following fee changes effective January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59743 (April 9, 2009), </w:t>
      </w:r>
      <w:hyperlink r:id="rId12" w:history="1">
        <w:r>
          <w:rPr>
            <w:rFonts w:ascii="arial" w:eastAsia="arial" w:hAnsi="arial" w:cs="arial"/>
            <w:b w:val="0"/>
            <w:i/>
            <w:strike w:val="0"/>
            <w:noProof w:val="0"/>
            <w:color w:val="0077CC"/>
            <w:position w:val="0"/>
            <w:sz w:val="20"/>
            <w:u w:val="single"/>
            <w:vertAlign w:val="baseline"/>
          </w:rPr>
          <w:t>74 FR 17699</w:t>
        </w:r>
      </w:hyperlink>
      <w:r>
        <w:rPr>
          <w:rFonts w:ascii="arial" w:eastAsia="arial" w:hAnsi="arial" w:cs="arial"/>
          <w:b w:val="0"/>
          <w:i w:val="0"/>
          <w:strike w:val="0"/>
          <w:noProof w:val="0"/>
          <w:color w:val="000000"/>
          <w:position w:val="0"/>
          <w:sz w:val="20"/>
          <w:u w:val="none"/>
          <w:vertAlign w:val="baseline"/>
        </w:rPr>
        <w:t xml:space="preserve"> (April 16, 2009) (SR-NYSEAmex-2009-11) (Notice--NYSE MKT Order Imbalances), 72020 (Sept. 9, 2014), </w:t>
      </w:r>
      <w:hyperlink r:id="rId13"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 (SR-NYSEMKT-2014-72) ("2014 Non-Display Filing"), and 73995 (Jan. 6, 2015), </w:t>
      </w:r>
      <w:hyperlink r:id="rId14" w:history="1">
        <w:r>
          <w:rPr>
            <w:rFonts w:ascii="arial" w:eastAsia="arial" w:hAnsi="arial" w:cs="arial"/>
            <w:b w:val="0"/>
            <w:i/>
            <w:strike w:val="0"/>
            <w:noProof w:val="0"/>
            <w:color w:val="0077CC"/>
            <w:position w:val="0"/>
            <w:sz w:val="20"/>
            <w:u w:val="single"/>
            <w:vertAlign w:val="baseline"/>
          </w:rPr>
          <w:t>80 FR 1560</w:t>
        </w:r>
      </w:hyperlink>
      <w:r>
        <w:rPr>
          <w:rFonts w:ascii="arial" w:eastAsia="arial" w:hAnsi="arial" w:cs="arial"/>
          <w:b w:val="0"/>
          <w:i w:val="0"/>
          <w:strike w:val="0"/>
          <w:noProof w:val="0"/>
          <w:color w:val="000000"/>
          <w:position w:val="0"/>
          <w:sz w:val="20"/>
          <w:u w:val="none"/>
          <w:vertAlign w:val="baseline"/>
        </w:rPr>
        <w:t xml:space="preserve"> (Jan. 12, 2015) (SR-NYSEMKT-2014-114).</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 for NYSE MKT Order Imbalances;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for NYSE MKT Order Imbalances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text of footnote 5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SR-NYSEMKT-2016-03 (Proposed Rule Change to Amend the Fees for NYSE MKT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MKT Order Imbalances in more than two locations would be charged $ 200 per product per additional location per month. No new reporting would be required.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Order Imbalance Data Feed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MKT market data means accessing, processing, or consuming NYSE MKT market data delivered via direct and/or Redistributor n7 data feeds for a purpose other than in support of a data recipient's display usage or further internal or external redistribution. n8 Managed Non-Display Services fees apply when a data recipient's non-display applications are hosted by a Redistributor that has been approved for Managed Non-Display Services. n9 A Redistributor approved for Managed Non-Display Services manages and controls the access to NYSE MKT Order Imbalances and does not allow for further internal distribution or external redistribution of NYSE MKT Order Imbalances by the data recipients. A Redistributor approved for Managed Non-Display Services is required to report to NYSE MKT on a monthly basis the data recipients that are receiving NYSE MKT market data through the Redistributor's managed non-display service and the real-time NYSE MKT market data products that such data recipients are receiving through such service. Recipients of data through Managed Non-Display Service have no additional reporting requirements. Data recipients that receive NYSE MKT Order Imbalances from an approved Redistributor of Managed Non-Display Services are charged an access fee of $ 250 per month and a Managed Non-Display Services Fee of $ 100 per month, for a total fee of $ 350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MKT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To be approved for Managed Non-Display Services, a Redistributor must manage and control the access to NYSE MKT Order Imbalances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MKT Order Imbalances in the Redistributor's own messaging formats (rather than using raw NYSE MKT message formats) by reformatting and/or altering NYSE MKT Order Imbalances prior to retransmission without affecting the integrity of NYSE MKT Order Imbalances and without rendering NYSE MKT Order Imbalances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MKT Order Imbalances on a managed non-display basis would continue to be subject to an access fee of $ 500 per month, and the same non-display services fees, n10 as other data recipients.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order to harmonize its approach to fees for its market data products, the Exchange is simultaneously proposing to remove fees related to Managed Non-Display Services for NYSE MKT OpenBook, NYSE MKT BBO, and NYSE MKT Trades.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SR-NYSEMKT-2016-03 and SR-NYSEMKT-2016-04. The fees applicable to NYSE MKT Integrated market data product effective as of January 4, 2016 do not include Managed Non-Display Services fees. </w:t>
      </w:r>
      <w:r>
        <w:rPr>
          <w:rFonts w:ascii="arial" w:eastAsia="arial" w:hAnsi="arial" w:cs="arial"/>
          <w:b/>
          <w:i w:val="0"/>
          <w:strike w:val="0"/>
          <w:noProof w:val="0"/>
          <w:color w:val="000000"/>
          <w:position w:val="0"/>
          <w:sz w:val="20"/>
          <w:u w:val="none"/>
          <w:vertAlign w:val="baseline"/>
        </w:rPr>
        <w:t> [*3497]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n12 in general, and Sections 6(b)(4) and 6(b)(5) of the Act, n13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15"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5"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[sic]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n14 The Exchange also notes that the OPRA Plan imposes a similar charge of $ 100 per connection for circuit connections in addition to the primary and backup connections.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6"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PRA Plan [sic] at </w:t>
      </w:r>
      <w:hyperlink r:id="rId17"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 for NYSE MKT Order Imbalances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The Exchange determined in 2013 that its fee structure, which was then based primarily on counting both display and non-display devices, was no longer appropriate in light of market and technology developments. n16 Since then, the Exchange also modified its approach to display and non-display fees with changes to the fees as reflected in a 2014 filing. n17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(April 9, 2013) (SR-NYSEMKT-2013-32).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Order Imbalances is entirely optional. The Exchange is not required to make NYSE MKT Order Imbalances available or to offer any specific pricing alternatives to any customers, nor is any firm required to purchase NYSE MKT Order Imbalances. Firms that do purchase NYSE MKT Order Imbalances do so for the primary goals of using it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Order Imbalances or any other similar products are attractively priced or not.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18"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18"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8"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w:t>
      </w:r>
      <w:r>
        <w:rPr>
          <w:rFonts w:ascii="arial" w:eastAsia="arial" w:hAnsi="arial" w:cs="arial"/>
          <w:b/>
          <w:i w:val="0"/>
          <w:strike w:val="0"/>
          <w:noProof w:val="0"/>
          <w:color w:val="000000"/>
          <w:position w:val="0"/>
          <w:sz w:val="20"/>
          <w:u w:val="none"/>
          <w:vertAlign w:val="baseline"/>
        </w:rPr>
        <w:t> [*3498] </w:t>
      </w:r>
      <w:r>
        <w:rPr>
          <w:rFonts w:ascii="arial" w:eastAsia="arial" w:hAnsi="arial" w:cs="arial"/>
          <w:b w:val="0"/>
          <w:i w:val="0"/>
          <w:strike w:val="0"/>
          <w:noProof w:val="0"/>
          <w:color w:val="000000"/>
          <w:position w:val="0"/>
          <w:sz w:val="20"/>
          <w:u w:val="none"/>
          <w:vertAlign w:val="baseline"/>
        </w:rPr>
        <w:t xml:space="preserve"> not be done practically or offer any significant benefits.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9"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n22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Concept Release on Equity Market Structure, Securities Exchange Act Release No. 61358 (Jan. 14, 2010), </w:t>
      </w:r>
      <w:hyperlink r:id="rId21"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1"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2"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Order Imbalances unless their customers request it, and customers will not elect to pay the proposed fees unless NYSE MKT Order Imbalances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 </w:t>
      </w:r>
      <w:r>
        <w:rPr>
          <w:rFonts w:ascii="arial" w:eastAsia="arial" w:hAnsi="arial" w:cs="arial"/>
          <w:b/>
          <w:i w:val="0"/>
          <w:strike w:val="0"/>
          <w:noProof w:val="0"/>
          <w:color w:val="000000"/>
          <w:position w:val="0"/>
          <w:sz w:val="20"/>
          <w:u w:val="none"/>
          <w:vertAlign w:val="baseline"/>
        </w:rPr>
        <w:t> [*3499]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MKT and NYSE MKT's affiliates New York Stock Exchange LLC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n24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3"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4"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5"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n26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w:t>
      </w:r>
      <w:r>
        <w:rPr>
          <w:rFonts w:ascii="arial" w:eastAsia="arial" w:hAnsi="arial" w:cs="arial"/>
          <w:b/>
          <w:i w:val="0"/>
          <w:strike w:val="0"/>
          <w:noProof w:val="0"/>
          <w:color w:val="000000"/>
          <w:position w:val="0"/>
          <w:sz w:val="20"/>
          <w:u w:val="none"/>
          <w:vertAlign w:val="baseline"/>
        </w:rPr>
        <w:t> [*3500] </w:t>
      </w:r>
      <w:r>
        <w:rPr>
          <w:rFonts w:ascii="arial" w:eastAsia="arial" w:hAnsi="arial" w:cs="arial"/>
          <w:b w:val="0"/>
          <w:i w:val="0"/>
          <w:strike w:val="0"/>
          <w:noProof w:val="0"/>
          <w:color w:val="000000"/>
          <w:position w:val="0"/>
          <w:sz w:val="20"/>
          <w:u w:val="none"/>
          <w:vertAlign w:val="baseline"/>
        </w:rPr>
        <w:t xml:space="preserve"> actual number of orders and transaction reports that exist in the marketplace.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 [sic] changes to the fees for the NYSE MKT Order Imbalances,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n27 of the Act and subparagraph (f)(2) of Rule 19b-4 n28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n29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SR-NYSEMKT-2016-05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SR-NYSEMKT-2016-05. This file number should be included on the subject line if email is used. To help the Commission process and review your comments more efficiently, please use only one method. The Commission will post all comments on the Commission's Internet Web site (</w:t>
      </w:r>
      <w:hyperlink r:id="rId2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SR-NYSEMKT-2016-05 and should be submitted on or before February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hyperlink r:id="rId2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2016-01061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W33-F1V0-006W-81C2-00000-00&amp;context=" TargetMode="External" /><Relationship Id="rId13" Type="http://schemas.openxmlformats.org/officeDocument/2006/relationships/hyperlink" Target="https://advance.lexis.com/api/document?collection=administrative-codes&amp;id=urn:contentItem:5D4W-7300-006W-83PP-00000-00&amp;context=" TargetMode="External" /><Relationship Id="rId14" Type="http://schemas.openxmlformats.org/officeDocument/2006/relationships/hyperlink" Target="https://advance.lexis.com/api/document?collection=administrative-codes&amp;id=urn:contentItem:5F27-YGX0-006W-84SN-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s://advance.lexis.com/api/document?collection=administrative-codes&amp;id=urn:contentItem:58YY-BD30-006W-80HW-00000-00&amp;context=" TargetMode="External" /><Relationship Id="rId17" Type="http://schemas.openxmlformats.org/officeDocument/2006/relationships/hyperlink" Target="http://www.opradata.com/pdf/fee_schedule.pdf" TargetMode="External" /><Relationship Id="rId18" Type="http://schemas.openxmlformats.org/officeDocument/2006/relationships/hyperlink" Target="https://advance.lexis.com/api/document?collection=cases&amp;id=urn:contentItem:803V-DT30-YB0V-T01B-00000-00&amp;context=" TargetMode="External" /><Relationship Id="rId19" Type="http://schemas.openxmlformats.org/officeDocument/2006/relationships/hyperlink" Target="http://www.sec.gov/rules/concept/s72899/buck1.htm" TargetMode="External" /><Relationship Id="rId2" Type="http://schemas.openxmlformats.org/officeDocument/2006/relationships/webSettings" Target="webSettings.xml" /><Relationship Id="rId20" Type="http://schemas.openxmlformats.org/officeDocument/2006/relationships/hyperlink" Target="http://www.justice.gov/iso/opa/atr/speeches/2011/at-speech-110516.html" TargetMode="External" /><Relationship Id="rId21" Type="http://schemas.openxmlformats.org/officeDocument/2006/relationships/hyperlink" Target="https://advance.lexis.com/api/document?collection=administrative-codes&amp;id=urn:contentItem:4Y6T-4FW0-006W-80SB-00000-00&amp;context=" TargetMode="External" /><Relationship Id="rId22" Type="http://schemas.openxmlformats.org/officeDocument/2006/relationships/hyperlink" Target="https://www.arcavision.com/Arcavision/arcalogin.jsp" TargetMode="External" /><Relationship Id="rId23" Type="http://schemas.openxmlformats.org/officeDocument/2006/relationships/hyperlink" Target="https://advance.lexis.com/api/document?collection=administrative-codes&amp;id=urn:contentItem:5C6V-V6N0-006W-80W6-00000-00&amp;context=" TargetMode="External" /><Relationship Id="rId24" Type="http://schemas.openxmlformats.org/officeDocument/2006/relationships/hyperlink" Target="https://advance.lexis.com/api/document?collection=administrative-codes&amp;id=urn:contentItem:512C-NGP0-006W-82VF-00000-00&amp;context=" TargetMode="External" /><Relationship Id="rId25" Type="http://schemas.openxmlformats.org/officeDocument/2006/relationships/hyperlink" Target="https://advance.lexis.com/api/document?collection=administrative-codes&amp;id=urn:contentItem:512C-NGP0-006W-82VH-00000-00&amp;context=" TargetMode="External" /><Relationship Id="rId26" Type="http://schemas.openxmlformats.org/officeDocument/2006/relationships/hyperlink" Target="http://www.sec.gov/rules/sro.shtml" TargetMode="External" /><Relationship Id="rId27" Type="http://schemas.openxmlformats.org/officeDocument/2006/relationships/hyperlink" Target="mailto:rule-comments@sec.gov" TargetMode="External" /><Relationship Id="rId28" Type="http://schemas.openxmlformats.org/officeDocument/2006/relationships/hyperlink" Target="https://advance.lexis.com/api/document?collection=administrative-codes&amp;id=urn:contentItem:5SPP-2120-008G-Y2ND-00000-00&amp;context="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FV-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