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3506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013, Thursday, January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3506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New York Stock Exchange LLC; Notice of Filing and Immediate Effectiveness of Proposed Rule Change Amending the Fees for NYSE OpenBook</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34-76900; File No. SR-NYSE-2016-02]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January 4, 2016, New York Stock Exchange LLC ("NYSE" or the "Exchange")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OpenBook to: (1) Establish a multiple data feed fee; (2) discontinue fees relating to managed non-display; (3) modify the application of the access fee; and (4) modify the application of the non-professional user fee cap.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OpenBook, n4 as set forth on the NYSE Proprietary Market Data Fee Schedule ("Fee Schedule"). The Exchange proposes to make the following fee changes effective January 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57861 (May 23, 2008), </w:t>
      </w:r>
      <w:hyperlink r:id="rId12" w:history="1">
        <w:r>
          <w:rPr>
            <w:rFonts w:ascii="arial" w:eastAsia="arial" w:hAnsi="arial" w:cs="arial"/>
            <w:b w:val="0"/>
            <w:i/>
            <w:strike w:val="0"/>
            <w:noProof w:val="0"/>
            <w:color w:val="0077CC"/>
            <w:position w:val="0"/>
            <w:sz w:val="20"/>
            <w:u w:val="single"/>
            <w:vertAlign w:val="baseline"/>
          </w:rPr>
          <w:t>73 FR 31905</w:t>
        </w:r>
      </w:hyperlink>
      <w:r>
        <w:rPr>
          <w:rFonts w:ascii="arial" w:eastAsia="arial" w:hAnsi="arial" w:cs="arial"/>
          <w:b w:val="0"/>
          <w:i w:val="0"/>
          <w:strike w:val="0"/>
          <w:noProof w:val="0"/>
          <w:color w:val="000000"/>
          <w:position w:val="0"/>
          <w:sz w:val="20"/>
          <w:u w:val="none"/>
          <w:vertAlign w:val="baseline"/>
        </w:rPr>
        <w:t xml:space="preserve"> (June 4, 2008) (SR-NYSE-2008-42) ("2008 NYSE OpenBook Notice"), 59544 (Mar. 9, 2009), </w:t>
      </w:r>
      <w:hyperlink r:id="rId13" w:history="1">
        <w:r>
          <w:rPr>
            <w:rFonts w:ascii="arial" w:eastAsia="arial" w:hAnsi="arial" w:cs="arial"/>
            <w:b w:val="0"/>
            <w:i/>
            <w:strike w:val="0"/>
            <w:noProof w:val="0"/>
            <w:color w:val="0077CC"/>
            <w:position w:val="0"/>
            <w:sz w:val="20"/>
            <w:u w:val="single"/>
            <w:vertAlign w:val="baseline"/>
          </w:rPr>
          <w:t>74 FR 11162</w:t>
        </w:r>
      </w:hyperlink>
      <w:r>
        <w:rPr>
          <w:rFonts w:ascii="arial" w:eastAsia="arial" w:hAnsi="arial" w:cs="arial"/>
          <w:b w:val="0"/>
          <w:i w:val="0"/>
          <w:strike w:val="0"/>
          <w:noProof w:val="0"/>
          <w:color w:val="000000"/>
          <w:position w:val="0"/>
          <w:sz w:val="20"/>
          <w:u w:val="none"/>
          <w:vertAlign w:val="baseline"/>
        </w:rPr>
        <w:t xml:space="preserve"> (March 16, 2009) (SR-NYSE-2008-131) ("2009 NYSE OpenBook Order") and 62038 (May 5, 2010), </w:t>
      </w:r>
      <w:hyperlink r:id="rId14" w:history="1">
        <w:r>
          <w:rPr>
            <w:rFonts w:ascii="arial" w:eastAsia="arial" w:hAnsi="arial" w:cs="arial"/>
            <w:b w:val="0"/>
            <w:i/>
            <w:strike w:val="0"/>
            <w:noProof w:val="0"/>
            <w:color w:val="0077CC"/>
            <w:position w:val="0"/>
            <w:sz w:val="20"/>
            <w:u w:val="single"/>
            <w:vertAlign w:val="baseline"/>
          </w:rPr>
          <w:t>75 FR 26825</w:t>
        </w:r>
      </w:hyperlink>
      <w:r>
        <w:rPr>
          <w:rFonts w:ascii="arial" w:eastAsia="arial" w:hAnsi="arial" w:cs="arial"/>
          <w:b w:val="0"/>
          <w:i w:val="0"/>
          <w:strike w:val="0"/>
          <w:noProof w:val="0"/>
          <w:color w:val="000000"/>
          <w:position w:val="0"/>
          <w:sz w:val="20"/>
          <w:u w:val="none"/>
          <w:vertAlign w:val="baseline"/>
        </w:rPr>
        <w:t xml:space="preserve"> (May 12, 2010) (SR-NYSE-2010-22).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Securities Exchange Act Release Nos. 69278 (April 2, 2013), </w:t>
      </w:r>
      <w:hyperlink r:id="rId15" w:history="1">
        <w:r>
          <w:rPr>
            <w:rFonts w:ascii="arial" w:eastAsia="arial" w:hAnsi="arial" w:cs="arial"/>
            <w:b w:val="0"/>
            <w:i/>
            <w:strike w:val="0"/>
            <w:noProof w:val="0"/>
            <w:color w:val="0077CC"/>
            <w:position w:val="0"/>
            <w:sz w:val="20"/>
            <w:u w:val="single"/>
            <w:vertAlign w:val="baseline"/>
          </w:rPr>
          <w:t>78 FR 20973</w:t>
        </w:r>
      </w:hyperlink>
      <w:r>
        <w:rPr>
          <w:rFonts w:ascii="arial" w:eastAsia="arial" w:hAnsi="arial" w:cs="arial"/>
          <w:b w:val="0"/>
          <w:i w:val="0"/>
          <w:strike w:val="0"/>
          <w:noProof w:val="0"/>
          <w:color w:val="000000"/>
          <w:position w:val="0"/>
          <w:sz w:val="20"/>
          <w:u w:val="none"/>
          <w:vertAlign w:val="baseline"/>
        </w:rPr>
        <w:t xml:space="preserve"> (April 8, 2013) (SR-NYSE-2013-25) ("2013 Non-Display Filing"), 72923 (Aug. 26, 2014), </w:t>
      </w:r>
      <w:hyperlink r:id="rId16" w:history="1">
        <w:r>
          <w:rPr>
            <w:rFonts w:ascii="arial" w:eastAsia="arial" w:hAnsi="arial" w:cs="arial"/>
            <w:b w:val="0"/>
            <w:i/>
            <w:strike w:val="0"/>
            <w:noProof w:val="0"/>
            <w:color w:val="0077CC"/>
            <w:position w:val="0"/>
            <w:sz w:val="20"/>
            <w:u w:val="single"/>
            <w:vertAlign w:val="baseline"/>
          </w:rPr>
          <w:t>79 FR 52079</w:t>
        </w:r>
      </w:hyperlink>
      <w:r>
        <w:rPr>
          <w:rFonts w:ascii="arial" w:eastAsia="arial" w:hAnsi="arial" w:cs="arial"/>
          <w:b w:val="0"/>
          <w:i w:val="0"/>
          <w:strike w:val="0"/>
          <w:noProof w:val="0"/>
          <w:color w:val="000000"/>
          <w:position w:val="0"/>
          <w:sz w:val="20"/>
          <w:u w:val="none"/>
          <w:vertAlign w:val="baseline"/>
        </w:rPr>
        <w:t xml:space="preserve"> (Sept. 2, 2014) (SR-NYSE-2014-43) ("2014 Non-Display Filing") and 74027 (Jan. 9, 2015), </w:t>
      </w:r>
      <w:hyperlink r:id="rId17" w:history="1">
        <w:r>
          <w:rPr>
            <w:rFonts w:ascii="arial" w:eastAsia="arial" w:hAnsi="arial" w:cs="arial"/>
            <w:b w:val="0"/>
            <w:i/>
            <w:strike w:val="0"/>
            <w:noProof w:val="0"/>
            <w:color w:val="0077CC"/>
            <w:position w:val="0"/>
            <w:sz w:val="20"/>
            <w:u w:val="single"/>
            <w:vertAlign w:val="baseline"/>
          </w:rPr>
          <w:t>80 FR 2148</w:t>
        </w:r>
      </w:hyperlink>
      <w:r>
        <w:rPr>
          <w:rFonts w:ascii="arial" w:eastAsia="arial" w:hAnsi="arial" w:cs="arial"/>
          <w:b w:val="0"/>
          <w:i w:val="0"/>
          <w:strike w:val="0"/>
          <w:noProof w:val="0"/>
          <w:color w:val="000000"/>
          <w:position w:val="0"/>
          <w:sz w:val="20"/>
          <w:u w:val="none"/>
          <w:vertAlign w:val="baseline"/>
        </w:rPr>
        <w:t xml:space="preserve"> (Jan. 15, 2015) (SR-NYSE-2014-76) ("2015 NYSE OpenBook Notice").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multiple data feed fee;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 fees relating to managed non-display;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the application of the access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proposes to modify the application of the non-professional fee cap, effective April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establish a new monthly fee, the "Multiple Data Feed Fee," that would apply to data recipients that take a data feed for a market data product in more than two locations. Data recipients taking NYSE OpenBook in more than two locations would be charged $ 200 per additional location per month. No new reporting would be required.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Data vendors currently report a unique Vendor Account Number for each location at which they provide a data feed to a data recipient. The Exchange considers each Vendor Account Number a location. For example, if a data recipient has five Vendor Account Numbers, representing five locations, for the receipt of the NYSE OpenBook product, that data recipient will pay the Multiple Data Feed fee with respect to three of the five locations. </w:t>
      </w:r>
      <w:r>
        <w:rPr>
          <w:rFonts w:ascii="arial" w:eastAsia="arial" w:hAnsi="arial" w:cs="arial"/>
          <w:b/>
          <w:i w:val="0"/>
          <w:strike w:val="0"/>
          <w:noProof w:val="0"/>
          <w:color w:val="000000"/>
          <w:position w:val="0"/>
          <w:sz w:val="20"/>
          <w:u w:val="none"/>
          <w:vertAlign w:val="baseline"/>
        </w:rPr>
        <w:t> [*3507]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of NYSE market data means accessing, processing, or consuming NYSE market data delivered via direct and/or Redistributor n6 data feeds for a purpose other than in support of a data recipient's display usage or further internal or external redistribution. n7 Managed Non-Display Services fees apply when a data recipient's non-display applications are hosted by a Redistributor that has been approved for Managed Non-Display Services. n8 A Redistributor approved for Managed Non-Display Services manages and controls the access to NYSE OpenBook and does not allow for further internal distribution or external redistribution of NYSE OpenBook by the data recipients. A Redistributor approved for Managed Non-Display Services is required to report to NYSE on a monthly basis the data recipients that are receiving NYSE market data through the Redistributor's managed non-display service and the real-time NYSE market data products that such data recipients are receiving through such service. Recipients of data through Managed Non-Display Service have no additional reporting requirements. Data recipients that receive NYSE OpenBook from an approved Redistributor of Managed Non-Display Services are charged an access fee of $ 2,500 per month and a Managed Non-Display Services Fee of $ 2,400 per month, for a total fee of $ 4,900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"Redistributor" means a vendor or any other person that provides an NYSE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2015 NYSE OpenBook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To be approved for Managed Non-Display Services, a Redistributor must manage and control the access to NYSE OpenBook for data recipients' non-display applications and not allow for further internal distribution or external redistribution of the information by data recipients. In addition, the Redistributor is required to (a) host the data recipients' non-display applications in equipment located in the Redistributor's data center and/or hosted space/cage and (b) offer NYSE OpenBook in the Redistributor's own messaging formats (rather than using raw NYSE message formats) by reformatting and/or altering NYSE OpenBook prior to retransmission without affecting the integrity of NYSE OpenBook and without rendering NYSE OpenBook inaccurate, unfair, uninformative, fictitious, misleading or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discontinue the fees related to Managed Non-Display Services because of the limited number of Redistributors that have qualified for Managed Non-Display Services and the administrative burdens associated with the program in light of the limited number of Redistributors that have qualified for Managed Non-Display Services. As proposed, all data recipients currently using NYSE OpenBook on a managed non-display basis would be subject to the same access fee of $ 5,000 per month, and the same non-display services fees, n9 as other data recipients.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In order to harmonize its approach to fees for its market data products, the Exchange is simultaneously proposing to remove fees related to Managed Non-Display Services for NYSE BBO, NYSE Trades, and NYSE Order Imbalances.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SR-NYSE-2016-03 and SR-NYSE-2016-04. The fees applicable to the NYSE Integrated market data product effective as of January 4, 2016 do not include Managed Non-Display Services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 of the Application of the Access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make two changes to the application of the access fee for NYSE OpenBook.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each NYSE OpenBook data feed recipient currently pays a monthly $ 5,000 access fee for NYSE OpenBook. Recipients of NYSE OpenBook that also receive NYSE BBO and NYSE Order Imbalances do not currently pay an access fee for NYSE BBO and NYSE Order Imbalances. n11 The Exchange proposes to amend the NYSE OpenBook access fee so that recipients of NYSE OpenBook who also receive NYSE BBO or NYSE Order Imbalances would be required to pay a separate access fees for NYSE BBO ($ 1,500 per month) and/or NYSE Order Imbalances ($ 500 per month) in addition to the access fee for NYSE OpenBook. This change would have no impact on customers who do not receive NYSE OpenBook but who do receive NYSE BBO or NYSE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NYSE OpenBook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11163.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NYSE OpenBook is currently available in two forms: NYSE OpenBook Aggregated (formerly known as NYSE OpenBook Realtime) and NYSE OpenBook Ultra. NYSE OpenBook Aggregated distributes the Exchange's limit order data in real-time at intervals of one second. NYSE OpenBook Ultra makes available limit order data in real-time upon receipt of each displayed limit order.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2008 NYSE OpenBook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NYSE OpenBook Ultra also includes information regarding the changes in limit order interest, provides more precise timestamp resolution (microseconds) and provides a format that is optimized for speed and recoverability.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Exchange introduced NYSE OpenBook Ultra, the Exchange represented that it would continue to support and make available NYSE OpenBook Aggregated as an optional alternative without additional or different fees or terms. n13 At that time, the Exchange stated that it anticipated reassessing its pricing for NYSE OpenBook, and that it might restructure or modify the charges applicable to the NYSE OpenBook Aggregated and NYSE OpenBook Ultra packages. Currently, recipients of NYSE OpenBook Aggregated and NYSE OpenBook Ultra pay an access of $ 5,000 per month whether they receive one or both products. The Exchange proposes to charge separate access fees for each of NYSE OpenBook Ultra and NYSE OpenBook Aggregated. As proposed, the Exchange would charge an access fee of $ 5,000 per month for NYSE OpenBook Aggregated and an access fee of $ 5,000 per month for NYSE OpenBook Ultra.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2008 NYSE OpenBook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31906.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All other fees applicable to NYSE OpenBook will continue to apply as they do currently, whether a data recipient receives one or both of NYSE OpenBook Aggregated and NYSE OpenBook Ultra.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Non-Professional User Fee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display use of the NYSE OpenBook data feed, the Fee Schedule sets forth a Professional User Fee of $ 60 per user per month and a Non-Professional User Fee of $ 15 per user per month. These user fees generally apply to each display device that has access to NYSE OpenBook.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customers that are broker-dealers, these fees are subject to a $ 25,000 per month cap on non-professional user fees (the "Non-Professional User Fee Cap"). n15 In 2009, the Exchange adopted guidelines under which the broker-dealer would be eligible for the Non-Professional User Fee Cap notwithstanding the inclusion, temporarily or unintentionally, of a limited number of account-holding professional users (the "Professional User Exception"), subject to a complex set of conditions relating to the percentage of professional users, the relationship of those professional users to the broker-dealer, and the method of </w:t>
      </w:r>
      <w:r>
        <w:rPr>
          <w:rFonts w:ascii="arial" w:eastAsia="arial" w:hAnsi="arial" w:cs="arial"/>
          <w:b/>
          <w:i w:val="0"/>
          <w:strike w:val="0"/>
          <w:noProof w:val="0"/>
          <w:color w:val="000000"/>
          <w:position w:val="0"/>
          <w:sz w:val="20"/>
          <w:u w:val="none"/>
          <w:vertAlign w:val="baseline"/>
        </w:rPr>
        <w:t> [*3508] </w:t>
      </w:r>
      <w:r>
        <w:rPr>
          <w:rFonts w:ascii="arial" w:eastAsia="arial" w:hAnsi="arial" w:cs="arial"/>
          <w:b w:val="0"/>
          <w:i w:val="0"/>
          <w:strike w:val="0"/>
          <w:noProof w:val="0"/>
          <w:color w:val="000000"/>
          <w:position w:val="0"/>
          <w:sz w:val="20"/>
          <w:u w:val="none"/>
          <w:vertAlign w:val="baseline"/>
        </w:rPr>
        <w:t xml:space="preserve"> display and use of the data. n16 The Exchange proposed the Professional User Exception to the Non-Professional User Fee Cap to permit broker-dealers that primarily serve non-institutional brokerage account holders to offer an online client experience without undue administrative burdens while at the same time guarding against potential abuses by monitoring the use of the exception closely and reserving the right to deny application of the exception if a broker-dealer is determined to be misusing it, such as by opening up retail brokerage accounts to disseminate data to institutional clients.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NYSE OpenBook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The 2009 NYSE OpenBook Order described the $ 25,000 fee cap as being subject to increase or decrease by the percentage increase or decrease in the annual cost-of-living adjustment ("COLA") that the U.S. Social Security Administration applies to Supplemental Security Income for the calendar year preceding that subsequent calendar year. Although COLAs have represented increases in each year since this fee was adopted in 2009 </w:t>
      </w:r>
      <w:r>
        <w:rPr>
          <w:rFonts w:ascii="arial" w:eastAsia="arial" w:hAnsi="arial" w:cs="arial"/>
          <w:b w:val="0"/>
          <w:i/>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vertAlign w:val="baseline"/>
          </w:rPr>
          <w:t>https://www.ssa.gov/oact/cola/colaseries.html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last visited on November 30, 2015), the Exchange has waived its right to implement the increases it would have been entitled to implement and has not increased the fee cap commensurate with the intervening COLAs and hereby proposes to set the fee cap at a constant $ 25,000 per month that would not be subject to COLA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NYSE OpenBook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11164. The Professional User Exception provided that a broker-dealer could include professional Subscribers in the calculation of the monthly maximum amount for the Non-Professional User Fee Cap if: (i) Nonprofessional Subscribers comprise no less than 95 percent of the pool of Subscribers that are included in the calculation; (ii) each professional Subscriber included in the calculation maintains an active brokerage account directly with the broker-dealer (that is, with the broker-dealer rather than with a correspondent firm of the broker dealer); and (iii) each professional Subscriber that is included in the calculation is not affiliated with the broker-dealer or any of its affiliates; (iv) all Subscribers receive access to the identical service, regardless of whether the Subscribers are professional Subscribers or nonprofessional Subscribers; (v) upon discovery of the inclusion in the cap of an individual that does not qualify as a nonprofessional Subscriber, the broker-dealer takes reasonable action to reclassify and report that individual as a professional Subscriber during the immediately following reporting period. Notwithstanding (iii) and (v), the broker-dealer could include a professional Subscriber that is affiliated with the broker-dealer or its affiliates (subject to (i) and (ii)) if he or she accesses market data on-line through his or her personal account solely for the non-business purpose of managing his or her own portfolio. Notwithstanding (v), professional Subscribers may constitute up to five percent of the pool of Subscribers that the broker-dealer includes in the calculation of the monthly maximum amount if those professional Subscribers can only view data derived from through the Subscriber's online brokerage account and only in an inquiry/response per-quote display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in a streaming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eliminate the Professional User Exception for NYSE OpenBook effective April 1, 2016. The Exchange notes the Professional User Exception was an accommodation, the benefits of which were, when implemented, outweighed by the complexity of the terms of the exception and the burdens on customers and on the Exchange that have to track compliance with the exception. In addition, the Exchange notes that the Professional User Exception has been used by a small number of customers since it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as proposed, the Non-Professional User Fee Cap would no longer include any professional users that receive NYSE OpenBook data feed and the Professional User fee of $ 60 per user per month would apply with respect to all Professional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Non-Substantive Change to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fees for NYSE OpenBook include the Non-Display Use of NYSE BBO and NYSE Order Imbalances for customers paying NYSE OpenBook non-display fees that also pay access fees for NYSE BBO and NYSE Order Imbalances. n17 The Exchange proposes to describe this application of the Non-Display Use fees in note 1 to the Fee Schedule.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Non-Display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20976.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Exchange added a similar note, Note 1(b), to the Fee Schedule in connection with the addition of fees for the NYSE Integrated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76485 (Nov. 20, 2015), </w:t>
      </w:r>
      <w:hyperlink r:id="rId19" w:history="1">
        <w:r>
          <w:rPr>
            <w:rFonts w:ascii="arial" w:eastAsia="arial" w:hAnsi="arial" w:cs="arial"/>
            <w:b w:val="0"/>
            <w:i/>
            <w:strike w:val="0"/>
            <w:noProof w:val="0"/>
            <w:color w:val="0077CC"/>
            <w:position w:val="0"/>
            <w:sz w:val="20"/>
            <w:u w:val="single"/>
            <w:vertAlign w:val="baseline"/>
          </w:rPr>
          <w:t>80 FR 74158</w:t>
        </w:r>
      </w:hyperlink>
      <w:r>
        <w:rPr>
          <w:rFonts w:ascii="arial" w:eastAsia="arial" w:hAnsi="arial" w:cs="arial"/>
          <w:b w:val="0"/>
          <w:i w:val="0"/>
          <w:strike w:val="0"/>
          <w:noProof w:val="0"/>
          <w:color w:val="000000"/>
          <w:position w:val="0"/>
          <w:sz w:val="20"/>
          <w:u w:val="none"/>
          <w:vertAlign w:val="baseline"/>
        </w:rPr>
        <w:t xml:space="preserve"> (Nov. 27, 2015) (SR-NYSE-2015-57).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n19 in general, and Sections 6(b)(4) and 6(b)(5) of the Act, n20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0"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0"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NYSE OpenBook.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require data recipients to pay a modest additional fee [sic] taking a data feed for a market data product in more than two locations, because such data recipients can derive substantial value from being able to consume the product in as many locations as they want. In addition, there are administrative burdens associated with tracking each location at which a data recipient receives the product. The Multiple Data Feed Fee is designed to encourage data recipients to better manage their requests for additional data feeds and to monitor their usage of data feeds. The proposed fee is designed to apply to data feeds received in more than two locations so that each data recipient can have one primary and one backup data location before having to pay a multiple data feed fee. The Exchange notes that this pricing is consistent with similar pricing adopted in 2013 by the Consolidated Tape Association ("CTA"). n21 The Exchange also notes that the OPRA Plan imposes a similar charge of $ 100 per connection for circuit connections in addition to the primary and backup connections.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70010 (July 19, 2013), </w:t>
      </w:r>
      <w:hyperlink r:id="rId21" w:history="1">
        <w:r>
          <w:rPr>
            <w:rFonts w:ascii="arial" w:eastAsia="arial" w:hAnsi="arial" w:cs="arial"/>
            <w:b w:val="0"/>
            <w:i/>
            <w:strike w:val="0"/>
            <w:noProof w:val="0"/>
            <w:color w:val="0077CC"/>
            <w:position w:val="0"/>
            <w:sz w:val="20"/>
            <w:u w:val="single"/>
            <w:vertAlign w:val="baseline"/>
          </w:rPr>
          <w:t>78 FR 44984</w:t>
        </w:r>
      </w:hyperlink>
      <w:r>
        <w:rPr>
          <w:rFonts w:ascii="arial" w:eastAsia="arial" w:hAnsi="arial" w:cs="arial"/>
          <w:b w:val="0"/>
          <w:i w:val="0"/>
          <w:strike w:val="0"/>
          <w:noProof w:val="0"/>
          <w:color w:val="000000"/>
          <w:position w:val="0"/>
          <w:sz w:val="20"/>
          <w:u w:val="none"/>
          <w:vertAlign w:val="baseline"/>
        </w:rPr>
        <w:t xml:space="preserve"> (July 25, 2013) (SR-CTA/CQ-2013-04).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Access Fee," Options Price Reporting Authority Fee Schedule Fee Schedule PRA Plan at </w:t>
      </w:r>
      <w:hyperlink r:id="rId22" w:history="1">
        <w:r>
          <w:rPr>
            <w:rFonts w:ascii="arial" w:eastAsia="arial" w:hAnsi="arial" w:cs="arial"/>
            <w:b w:val="0"/>
            <w:i/>
            <w:strike w:val="0"/>
            <w:noProof w:val="0"/>
            <w:color w:val="0077CC"/>
            <w:position w:val="0"/>
            <w:sz w:val="20"/>
            <w:u w:val="single"/>
            <w:vertAlign w:val="baseline"/>
          </w:rPr>
          <w:t>http://www.opradata.com/pdf/fee_schedule.pdf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discontinue Managed Non-Display Fees. As the Exchange noted in the 2013 Non-Display Filing, the Exchange determined at that time that its fee structure, which was then based primarily on counting both display and non-display devices, was no longer appropriate in light of market and technology developments. Since then, the Exchange also modified its approach to display and non-display fees with changes to the fees as reflected in the 2014 Non-Display Filing. n23 Discontinuing the fees applicable to Managed Non-Display as proposed reflects the Exchange's continuing review and consideration of the application of non-display fees, and would harmonize and simplify the application of Non-Display Use fees by applying them consistently to all users. In particular, after further experience with the application of non-display use fees, the Exchange believes that it is more equitable and less discriminatory to discontinue the distinction for Managed Non-Display services because all data recipients using data on a non-display basis are using it in a comparable way and should be subject to similar fees regardless of whether or not they receive the data directly from the Exchange. The Exchange believes that applying the same non-display fees to all data recipients on the same basis better reflects the significant value of non-display data to data recipients and eliminates what is effectively a discount for certain data recipients, and as such is not unfairly discriminatory. The Exchange believes that the non-display fees directly and appropriately reflect the significant value of using non-display data in a wide range of computer-automated functions relating to both trading and non-trading activities and that the number and range of these functions continue to grow through innovation and technology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Modifications To Access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make the changes proposed to the application of access fees for NYSE OpenBook. In both cases, the Exchange believes the proposed changes will make the application of the access fees to each of products so that an access fee entitles a customer to receive, for the applicable product, a data feed or feeds. Specifically, data recipients that take the NYSE OpenBook, NYSE BBO and/or NYSE Order Imbalances products receive value from each separate product they choose to take. A data recipient that chooses to take multiple products that contain overlapping data (no recipient is required to take any of these products, or any specific combination of them) uses each product in a different way and therefore obtains different value from each. Similarly, the Exchange believes that it is reasonable to apply separate access fees for each of NYSE OpenBook Ultra and NYSE OpenBook Aggregated. First, applying an access fee to each product would bring consistency to the Exchange's application of access. Second, because NYSE OpenBook Ultra and NYSE OpenBook Aggregated provide the Exchange's depth of book data in different forms, data recipients that choose to receive and utilize both forms get separate value from each. The Exchange believes that each product has a separate and distinct value that is appropriate to reflect in a separate access fee. Finally, the requirement to pay separate access fees for each market data product is equitable and not unfairly discriminatory because it would apply to all data recipients and appropriately reflects the value of each product to those who choose to 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Non-Professional User Fee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modify the application of the non-professional user fee cap by eliminating the Professional User Exception. The Exchange notes that the Professional User Exception was an accommodation, the benefits of which were, when implemented, outweighed by the complexity of the terms of, and tracking compliance with, the exception. Eliminating the Professional User Exception would make the application of the Non-Professional User Fee Cap simpler by removing an administrative exception that has had very limited use and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Non-Substantive Changes to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adding a note to the Fee Schedule to reflect that Non-Display Use fees for NYSE OpenBook include the Non-Display Use of NYSE BBO and NYSE Order Imbalances for customers paying NYSE OpenBook non-display fees that are also paying access fees for NYSE BBO and NYSE Order Imbalances will remove impediments to and help perfect a free and open market by providing greater transparency for the Exchange's customers regarding the application of non-display use fees that have been previously filed with the Commission and are applicable to the existing Fee Schedule.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Non-Display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20976.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OpenBook is entirely optional. The Exchange is not required to make NYSE OpenBook available or to offer any specific pricing alternatives to any customers, nor is any firm required to purchase NYSE OpenBook. Firms that do purchase NYSE OpenBook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OpenBook or any other similar products are attractively priced or not.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OpenBook at the new prices have a variety of alternative market data products from which to choose, n26 or if NYSE OpenBook does not provide sufficient value to firms as offered based on the uses those firms have or planned to make of it, such firms may simply choose to conduct their business operations in ways that do not use NYSE OpenBook or use it at different levels or in different configurations. The Exchange notes that broker-dealers are not required to purchase proprietary market data to comply with their best execution obligations.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 (Nasdaq Totalview) and BATS Rule 11.22(a) and (c) (BATS TCP Pitch and Multicast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3"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3"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4"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n31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Concept Release on Equity Market Structure, Securities Exchange Act Release No. 61358 (Jan. 14, 2010), </w:t>
      </w:r>
      <w:hyperlink r:id="rId26"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6"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OpenBook unless their customers request it, and customers will not elect to pay the proposed fees unless NYSE OpenBook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 </w:t>
      </w:r>
      <w:r>
        <w:rPr>
          <w:rFonts w:ascii="arial" w:eastAsia="arial" w:hAnsi="arial" w:cs="arial"/>
          <w:b/>
          <w:i w:val="0"/>
          <w:strike w:val="0"/>
          <w:noProof w:val="0"/>
          <w:color w:val="000000"/>
          <w:position w:val="0"/>
          <w:sz w:val="20"/>
          <w:u w:val="none"/>
          <w:vertAlign w:val="baseline"/>
        </w:rPr>
        <w:t> [*3511]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September 2015, more than 80% of the transaction volume on each of NYSE and NYSE's affiliates NYSE Arca, Inc. ("NYSE Arca") and NYSE MKT LLC ("NYSE MKT")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n33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8"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9"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30"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11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n35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MKT, NYSE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OpenBook,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n36 Because market data users can find suitable substitutes for most proprietary market data products, a market that overprices its market data products stands a high risk that users </w:t>
      </w:r>
      <w:r>
        <w:rPr>
          <w:rFonts w:ascii="arial" w:eastAsia="arial" w:hAnsi="arial" w:cs="arial"/>
          <w:b/>
          <w:i w:val="0"/>
          <w:strike w:val="0"/>
          <w:noProof w:val="0"/>
          <w:color w:val="000000"/>
          <w:position w:val="0"/>
          <w:sz w:val="20"/>
          <w:u w:val="none"/>
          <w:vertAlign w:val="baseline"/>
        </w:rPr>
        <w:t> [*3512] </w:t>
      </w:r>
      <w:r>
        <w:rPr>
          <w:rFonts w:ascii="arial" w:eastAsia="arial" w:hAnsi="arial" w:cs="arial"/>
          <w:b w:val="0"/>
          <w:i w:val="0"/>
          <w:strike w:val="0"/>
          <w:noProof w:val="0"/>
          <w:color w:val="000000"/>
          <w:position w:val="0"/>
          <w:sz w:val="20"/>
          <w:u w:val="none"/>
          <w:vertAlign w:val="baseline"/>
        </w:rPr>
        <w:t xml:space="preserve">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changes to the fees for the NYSE OpenBook,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n37 of the Act and subparagraph (f)(2) of Rule 19b-4 n38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n39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SR-NYSE-2016-02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SR-NYSE-2016-02. This file number should be included on the subject line if email is used. To help the Commission process and review your comments more efficiently, please use only one method. The Commission will post all comments on the Commission's Internet Web site (</w:t>
      </w:r>
      <w:hyperlink r:id="rId3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SR-NYSE-2016-02 and should be submitted on or before February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33"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2016-01052 Filed 1-20-16;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3506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4SNN-XMM0-006W-836J-00000-00&amp;context=" TargetMode="External" /><Relationship Id="rId13" Type="http://schemas.openxmlformats.org/officeDocument/2006/relationships/hyperlink" Target="https://advance.lexis.com/api/document?collection=administrative-codes&amp;id=urn:contentItem:4VV2-RND0-006W-82HV-00000-00&amp;context=" TargetMode="External" /><Relationship Id="rId14" Type="http://schemas.openxmlformats.org/officeDocument/2006/relationships/hyperlink" Target="https://advance.lexis.com/api/document?collection=administrative-codes&amp;id=urn:contentItem:502G-30S0-006W-83D6-00000-00&amp;context=" TargetMode="External" /><Relationship Id="rId15" Type="http://schemas.openxmlformats.org/officeDocument/2006/relationships/hyperlink" Target="https://advance.lexis.com/api/document?collection=administrative-codes&amp;id=urn:contentItem:584X-MSJ0-006W-83Y8-00000-00&amp;context=" TargetMode="External" /><Relationship Id="rId16" Type="http://schemas.openxmlformats.org/officeDocument/2006/relationships/hyperlink" Target="https://advance.lexis.com/api/document?collection=administrative-codes&amp;id=urn:contentItem:5D23-RDG0-006W-828R-00000-00&amp;context=" TargetMode="External" /><Relationship Id="rId17" Type="http://schemas.openxmlformats.org/officeDocument/2006/relationships/hyperlink" Target="https://advance.lexis.com/api/document?collection=administrative-codes&amp;id=urn:contentItem:5F2X-3NW0-006W-8547-00000-00&amp;context=" TargetMode="External" /><Relationship Id="rId18" Type="http://schemas.openxmlformats.org/officeDocument/2006/relationships/hyperlink" Target="https://www.ssa.gov/oact/cola/colaseries.html" TargetMode="External" /><Relationship Id="rId19" Type="http://schemas.openxmlformats.org/officeDocument/2006/relationships/hyperlink" Target="https://advance.lexis.com/api/document?collection=administrative-codes&amp;id=urn:contentItem:5HG9-20S0-006W-846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C1-NRF4-4309-00000-00&amp;context=" TargetMode="External" /><Relationship Id="rId21" Type="http://schemas.openxmlformats.org/officeDocument/2006/relationships/hyperlink" Target="https://advance.lexis.com/api/document?collection=administrative-codes&amp;id=urn:contentItem:58YY-BD30-006W-80HW-00000-00&amp;context=" TargetMode="External" /><Relationship Id="rId22" Type="http://schemas.openxmlformats.org/officeDocument/2006/relationships/hyperlink" Target="http://www.opradata.com/pdf/fee_schedule.pdf" TargetMode="External" /><Relationship Id="rId23" Type="http://schemas.openxmlformats.org/officeDocument/2006/relationships/hyperlink" Target="https://advance.lexis.com/api/document?collection=cases&amp;id=urn:contentItem:803V-DT30-YB0V-T01B-00000-00&amp;context=" TargetMode="External" /><Relationship Id="rId24" Type="http://schemas.openxmlformats.org/officeDocument/2006/relationships/hyperlink" Target="http://www.sec.gov/rules/concept/s72899/buck1.htm" TargetMode="External" /><Relationship Id="rId25" Type="http://schemas.openxmlformats.org/officeDocument/2006/relationships/hyperlink" Target="http://www.justice.gov/iso/opa/atr/speeches/2011/at-speech-110516.html" TargetMode="External" /><Relationship Id="rId26" Type="http://schemas.openxmlformats.org/officeDocument/2006/relationships/hyperlink" Target="https://advance.lexis.com/api/document?collection=administrative-codes&amp;id=urn:contentItem:4Y6T-4FW0-006W-80SB-00000-00&amp;context=" TargetMode="External" /><Relationship Id="rId27" Type="http://schemas.openxmlformats.org/officeDocument/2006/relationships/hyperlink" Target="https://www.arcavision.com/Arcavision/arcalogin.jsp" TargetMode="External" /><Relationship Id="rId28" Type="http://schemas.openxmlformats.org/officeDocument/2006/relationships/hyperlink" Target="https://advance.lexis.com/api/document?collection=administrative-codes&amp;id=urn:contentItem:5C6V-V6N0-006W-80W6-00000-00&amp;context=" TargetMode="External" /><Relationship Id="rId29" Type="http://schemas.openxmlformats.org/officeDocument/2006/relationships/hyperlink" Target="https://advance.lexis.com/api/document?collection=administrative-codes&amp;id=urn:contentItem:512C-NGP0-006W-82VF-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12C-NGP0-006W-82VH-00000-00&amp;context=" TargetMode="External" /><Relationship Id="rId31" Type="http://schemas.openxmlformats.org/officeDocument/2006/relationships/hyperlink" Target="http://www.sec.gov/rules/sro.shtml" TargetMode="External" /><Relationship Id="rId32" Type="http://schemas.openxmlformats.org/officeDocument/2006/relationships/hyperlink" Target="mailto:rule-comments@sec.gov" TargetMode="External" /><Relationship Id="rId33" Type="http://schemas.openxmlformats.org/officeDocument/2006/relationships/hyperlink" Target="https://advance.lexis.com/api/document?collection=administrative-codes&amp;id=urn:contentItem:5SPP-2120-008G-Y2ND-00000-00&amp;context=" TargetMode="Externa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X1-G1G0-006W-84FX-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3547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71343232</vt:lpwstr>
  </property>
  <property fmtid="{D5CDD505-2E9C-101B-9397-08002B2CF9AE}" pid="3" name="LADocCount">
    <vt:lpwstr>1</vt:lpwstr>
  </property>
  <property fmtid="{D5CDD505-2E9C-101B-9397-08002B2CF9AE}" pid="4" name="UserPermID">
    <vt:lpwstr>urn:user:PA185916758</vt:lpwstr>
  </property>
</Properties>
</file>