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3514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013, Thursday, January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3514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Rule Change Amending the Fees for NYSE MKT OpenBook</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34-76901; File No. SR-NYSEMKT-2016-03]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4, 2016,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MKT OpenBook to: (1) Establish a multiple data feed fee; (2) discontinue fees relating to managed non-display; (3) modify the application of the non-professional user fee cap; and (4) modify fees relating to non-display use.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MKT OpenBook, n4 as set forth on the NYSE MKT Equities Proprietary Market Data Fee Schedule ("Fee Schedule"). The Exchange proposes to make the following fee changes effective January 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60123 (June 17, 2009), </w:t>
      </w:r>
      <w:hyperlink r:id="rId12" w:history="1">
        <w:r>
          <w:rPr>
            <w:rFonts w:ascii="arial" w:eastAsia="arial" w:hAnsi="arial" w:cs="arial"/>
            <w:b w:val="0"/>
            <w:i/>
            <w:strike w:val="0"/>
            <w:noProof w:val="0"/>
            <w:color w:val="0077CC"/>
            <w:position w:val="0"/>
            <w:sz w:val="20"/>
            <w:u w:val="single"/>
            <w:vertAlign w:val="baseline"/>
          </w:rPr>
          <w:t>74 FR 30192</w:t>
        </w:r>
      </w:hyperlink>
      <w:r>
        <w:rPr>
          <w:rFonts w:ascii="arial" w:eastAsia="arial" w:hAnsi="arial" w:cs="arial"/>
          <w:b w:val="0"/>
          <w:i w:val="0"/>
          <w:strike w:val="0"/>
          <w:noProof w:val="0"/>
          <w:color w:val="000000"/>
          <w:position w:val="0"/>
          <w:sz w:val="20"/>
          <w:u w:val="none"/>
          <w:vertAlign w:val="baseline"/>
        </w:rPr>
        <w:t xml:space="preserve"> (June 24, 2009) (SR-NYSEAmex-2009-28) (establishing NYSE MKT OpenBook).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69285 (April 3, 2013), </w:t>
      </w:r>
      <w:r>
        <w:rPr>
          <w:rFonts w:ascii="arial" w:eastAsia="arial" w:hAnsi="arial" w:cs="arial"/>
          <w:b w:val="0"/>
          <w:i/>
          <w:strike w:val="0"/>
          <w:noProof w:val="0"/>
          <w:color w:val="000000"/>
          <w:position w:val="0"/>
          <w:sz w:val="20"/>
          <w:u w:val="none"/>
          <w:vertAlign w:val="baseline"/>
        </w:rPr>
        <w:t>78 FR 21172</w:t>
      </w:r>
      <w:r>
        <w:rPr>
          <w:rFonts w:ascii="arial" w:eastAsia="arial" w:hAnsi="arial" w:cs="arial"/>
          <w:b w:val="0"/>
          <w:i w:val="0"/>
          <w:strike w:val="0"/>
          <w:noProof w:val="0"/>
          <w:color w:val="000000"/>
          <w:position w:val="0"/>
          <w:sz w:val="20"/>
          <w:u w:val="none"/>
          <w:vertAlign w:val="baseline"/>
        </w:rPr>
        <w:t xml:space="preserve"> (April 9, 2013) (SR-NYSEMKT-2013-32) (adopting access fees, subscriber fees, and non-display fees) ("2013 Non-Display Filing"), 72020 (Sept. 9, 2014), </w:t>
      </w:r>
      <w:hyperlink r:id="rId13"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 15, 2014) (SR-NYSEMKT-2014-72) (amending non-display fees) ("2014 Non-Display Filing") and 73986 (Jan. 9, 2015), </w:t>
      </w:r>
      <w:hyperlink r:id="rId14" w:history="1">
        <w:r>
          <w:rPr>
            <w:rFonts w:ascii="arial" w:eastAsia="arial" w:hAnsi="arial" w:cs="arial"/>
            <w:b w:val="0"/>
            <w:i/>
            <w:strike w:val="0"/>
            <w:noProof w:val="0"/>
            <w:color w:val="0077CC"/>
            <w:position w:val="0"/>
            <w:sz w:val="20"/>
            <w:u w:val="single"/>
            <w:vertAlign w:val="baseline"/>
          </w:rPr>
          <w:t>80 FR 1444</w:t>
        </w:r>
      </w:hyperlink>
      <w:r>
        <w:rPr>
          <w:rFonts w:ascii="arial" w:eastAsia="arial" w:hAnsi="arial" w:cs="arial"/>
          <w:b w:val="0"/>
          <w:i w:val="0"/>
          <w:strike w:val="0"/>
          <w:noProof w:val="0"/>
          <w:color w:val="000000"/>
          <w:position w:val="0"/>
          <w:sz w:val="20"/>
          <w:u w:val="none"/>
          <w:vertAlign w:val="baseline"/>
        </w:rPr>
        <w:t xml:space="preserve"> (Jan. 9, 2015) (SR-NYSEMKT-2014-113) ("2015 NYSE MKT OpenBook Notice").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application of the non-professional user fee cap;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fees relating to non-display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to modify the application of the non-professional fee cap, effective April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MKT OpenBook in more than two locations would be charged $ 200 per additional location per month. No new reporting would be required.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MKT OpenBook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Non-Display Use of NYSE MKT market data means accessing, processing, or consuming NYSE MKT market data delivered via direct and/or </w:t>
      </w:r>
      <w:r>
        <w:rPr>
          <w:rFonts w:ascii="arial" w:eastAsia="arial" w:hAnsi="arial" w:cs="arial"/>
          <w:b/>
          <w:i w:val="0"/>
          <w:strike w:val="0"/>
          <w:noProof w:val="0"/>
          <w:color w:val="000000"/>
          <w:position w:val="0"/>
          <w:sz w:val="20"/>
          <w:u w:val="none"/>
          <w:vertAlign w:val="baseline"/>
        </w:rPr>
        <w:t> [*3515] </w:t>
      </w:r>
      <w:r>
        <w:rPr>
          <w:rFonts w:ascii="arial" w:eastAsia="arial" w:hAnsi="arial" w:cs="arial"/>
          <w:b w:val="0"/>
          <w:i w:val="0"/>
          <w:strike w:val="0"/>
          <w:noProof w:val="0"/>
          <w:color w:val="000000"/>
          <w:position w:val="0"/>
          <w:sz w:val="20"/>
          <w:u w:val="none"/>
          <w:vertAlign w:val="baseline"/>
        </w:rPr>
        <w:t xml:space="preserve"> Redistributor n6 data feeds for a purpose other than in support of a data recipient's display usage or further internal or external redistribution. n7 Managed Non-Display Services fees apply when a data recipient's non-display applications are hosted by a Redistributor that has been approved for Managed Non-Display Services. n8 A Redistributor approved for Managed Non-Display Services manages and controls the access to NYSE MKT OpenBook and does not allow for further internal distribution or external redistribution of NYSE MKT OpenBook by the data recipients. A Redistributor approved for Managed Non-Display Services is required to report to NYSE MKT on a monthly basis the data recipients that are receiving NYSE MKT market data through the Redistributor's managed non-display service and the real-time NYSE MKT market data products that such data recipients are receiving through such service. Recipients of data through Managed Non-Display Service have no additional reporting requirements. Data recipients that receive NYSE MKT OpenBook from an approved Redistributor of Managed Non-Display Services are charged an access fee of $ 500 per month and a Managed Non-Display Services Fee of $ 750 per month, for a total fee of $ 1,250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"Redistributor" means a vendor or any other person that provides an NYSE MKT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2015 NYSE MKT OpenBook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To be approved for Managed Non-Display Services, a Redistributor must manage and control the access to NYSE MKT OpenBook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MKT OpenBook in the Redistributor's own messaging formats (rather than using raw NYSE message formats) by reformatting and/or altering NYSE MKT OpenBook prior to retransmission without affecting the integrity of NYSE MKT OpenBook and without rendering NYSE MKT OpenBook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MKT OpenBook on a managed non-display basis would be subject to the same access fee of $ 1,000 per month, and the same non-display services fees, n9 as other data recipients.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order to harmonize its approach to fees for its market data products, the Exchange is simultaneously proposing to remove fees related to Managed Non-Display Services for NYSE MKT BBO, NYSE MKT Trades, and NYSE MKT Order Imbalances.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SR-NYSEMKT-2016-04 and SR-NYSEMKT-2016-05. The fees applicable to NYSE MKT Integrated market data product effective as of January 4, 2016 do not include Managed Non-Display Services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Non-Professional User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display use of the NYSE MKT OpenBook data feed, the Fee Schedule sets forth a Professional User Fee of $ 5 per user per month and a Non-Professional User Fee of $ 1 per user per month. These user fees generally apply to each display device that has access to NYSE MKT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customers that are broker-dealers, these fees are subject to a $ 20,000 per month cap on non-professional user fees (the "Non-Professional User Fee Cap"). n11 When adopting these fees, the Exchange adopted guidelines under which the broker-dealer would be eligible for the Non-Professional User Fee Cap notwithstanding the inclusion, temporarily or unintentionally, of a limited number of account-holding professional users (the "Professional User Exception"), subject to a complex set of conditions relating to the percentage of professional users, the relationship of those professional users to the broker-dealer, and the method of display and use of the data. n12 The Exchange proposed the Professional User Exception to the Non-Professional User Fee Cap to permit broker-dealers that primarily serve non-institutional brokerage account holders to offer an online client experience without undue administrative burdens while at the same time guarding against potential abuses by monitoring the use of the exception closely and reserving the right to deny application of the exception if a broker-dealer is determined to be misusing it, such as by opening up retail brokerage accounts to disseminate data to institutional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21174. In the 2013 Non-Display Filing, the Exchange described the Non-Professional User Fee Cap as being subject to being increased (but not decreased) by the percentage increase (if any) in the annual composite share volume for the calendar year preceding that calendar year, subject to a maximum annual increase of five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Exchange has waived its right to implement the increases it would have been entitled to implement and has not increased the fee cap commensurate since 2013 and hereby proposes to set the fee cap at a constant $ 20,000 per month that would not be subject to any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eliminate the Professional User Exception for NYSE MKT OpenBook effective April 1, 2016. The Exchange notes the Professional User Exception was an accommodation, the benefits of which were, when implemented, outweighed by the complexity of the terms of the exception and the burdens on customers and on the Exchange that have to track compliance with the exception. In addition, the Exchange notes that the Professional User Exception has been used by a small number of customers since it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as proposed, the Non-Professional User Fee Cap would no longer include any professional users that receive NYSE MKT OpenBook data feed and the Professional User fee of $ 5 per user per month would apply with respect to all 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to Fees Relating to Non-Display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modify the Non-Display Use fees for NYSE MKT OpenBook to provide that such fees include the Non-Display Use of NYSE MKT BBO and NYSE MKT Order Imbalances for customers paying NYSE MKT OpenBook non-display fees that also pay access fees for NYSE MKT BBO and NYSE MKT Order Imbalances. This proposed rule change is based on how the Exchange's affiliate, New York Stock Exchange LLC ("NYSE") charges Non-Display Fees for NYSE OpenBook, NYSE BBO and NYSE Order Imbalances. n13 The Exchange proposes to describe this application of the Non-Display Use fees in note 1 to the Fee Schedule.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Securities Exchange Act Release No. 69278 (April 2, 2013), </w:t>
      </w:r>
      <w:hyperlink r:id="rId15" w:history="1">
        <w:r>
          <w:rPr>
            <w:rFonts w:ascii="arial" w:eastAsia="arial" w:hAnsi="arial" w:cs="arial"/>
            <w:b w:val="0"/>
            <w:i/>
            <w:strike w:val="0"/>
            <w:noProof w:val="0"/>
            <w:color w:val="0077CC"/>
            <w:position w:val="0"/>
            <w:sz w:val="20"/>
            <w:u w:val="single"/>
            <w:vertAlign w:val="baseline"/>
          </w:rPr>
          <w:t>78 FR 20973, 20976</w:t>
        </w:r>
      </w:hyperlink>
      <w:r>
        <w:rPr>
          <w:rFonts w:ascii="arial" w:eastAsia="arial" w:hAnsi="arial" w:cs="arial"/>
          <w:b w:val="0"/>
          <w:i w:val="0"/>
          <w:strike w:val="0"/>
          <w:noProof w:val="0"/>
          <w:color w:val="000000"/>
          <w:position w:val="0"/>
          <w:sz w:val="20"/>
          <w:u w:val="none"/>
          <w:vertAlign w:val="baseline"/>
        </w:rPr>
        <w:t xml:space="preserve"> (SR-NYSE-2013-25).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Exchange added a similar note, Note 1(b), to the Fee Schedule in connection with the addition of fees for the NYSE MKT Integrated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76525 (Nov. 25, 2015), </w:t>
      </w:r>
      <w:r>
        <w:rPr>
          <w:rFonts w:ascii="arial" w:eastAsia="arial" w:hAnsi="arial" w:cs="arial"/>
          <w:b w:val="0"/>
          <w:i/>
          <w:strike w:val="0"/>
          <w:noProof w:val="0"/>
          <w:color w:val="000000"/>
          <w:position w:val="0"/>
          <w:sz w:val="20"/>
          <w:u w:val="none"/>
          <w:vertAlign w:val="baseline"/>
        </w:rPr>
        <w:t>80 FR 74148</w:t>
      </w:r>
      <w:r>
        <w:rPr>
          <w:rFonts w:ascii="arial" w:eastAsia="arial" w:hAnsi="arial" w:cs="arial"/>
          <w:b w:val="0"/>
          <w:i w:val="0"/>
          <w:strike w:val="0"/>
          <w:noProof w:val="0"/>
          <w:color w:val="000000"/>
          <w:position w:val="0"/>
          <w:sz w:val="20"/>
          <w:u w:val="none"/>
          <w:vertAlign w:val="baseline"/>
        </w:rPr>
        <w:t xml:space="preserve"> (Dec. 1, 2015) (SR-NYSEMKT-2015-95).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n15 in general, and Sections 6(b)(4) and 6(b)(5) of the Act, n16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6"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i w:val="0"/>
          <w:strike w:val="0"/>
          <w:noProof w:val="0"/>
          <w:color w:val="000000"/>
          <w:position w:val="0"/>
          <w:sz w:val="20"/>
          <w:u w:val="none"/>
          <w:vertAlign w:val="baseline"/>
        </w:rPr>
        <w:t> [*3516]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MKT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[sic]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n17 The Exchange also notes that the OPRA Plan imposes a similar charge of $ 100 per connection for circuit connections in addition to the primary and backup connections.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7"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at </w:t>
      </w:r>
      <w:hyperlink r:id="rId18"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As the Exchange noted in the 2013 Non-Display Filing, the Exchange determined at that time that its fee structure, which was then based primarily on counting both display and non-display devices, was no longer appropriate in light of market and technology developments. Since then, the Exchange also modified its approach to display and non-display fees with changes to the fees as reflected in the 2014 Non-Display Filing. n19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Non-Professional User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modify the application of the non-professional user fee cap by eliminating the Professional User Exception. The Exchange notes that the Professional User Exception was an accommodation, the benefits of which were, when implemented, outweighed by the complexity of the terms of the exception and the burdens on customers and on the Exchange entailed with tracking compliance with the exception. Eliminating the Professional User Exception would make the application of the Non-Professional User Fee Cap simpler and ease administrative burdens for customers and the Exchange by removing an administrative exception that has had limited use and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modification to the Non-Display Use fees for NYSE MKT OpenBook to provide that such fees include the Non-Display Use of NYSE MKT BBO and NYSE MKT Order Imbalances for customers paying NYSE MKT OpenBook non-display fees that also pay access fees for NYSE MKT BBO and NYSE MKT Order Imbalances is reasonable and would not permit unfair discrimination among customers, issuers, and brokers because it would be applied equally to all data recipients that choose to subscribe to non-display use of NYSE MKT OpenBook, NYSE MKT BBO, and NYSE MKT Order Imbalances. The Exchange further believes that adding a note to the Fee Schedule to reflect that Non-Display Use fees for NYSE MKT OpenBook include the Non-Display Use of NYSE MKT BBO and NYSE MKT Order Imbalances for customers paying NYSE MKT OpenBook non-display fees that are also paying access fees for NYSE MKT BBO and NYSE MKT Order Imbalances will remove impediments to and help perfect a free and open market by providing greater transparency for the Exchange's customers regarding the application of non-display use fees by providing transparency regarding the Exchange's fees associated with non-display use of these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OpenBook is entirely optional. The Exchange is not required to make NYSE MKT OpenBook available or to offer any specific pricing alternatives to any customers, nor is any firm required to purchase NYSE MKT OpenBook. Firms that do purchase NYSE MKT OpenBook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OpenBook or any other similar products are attractively priced or not.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MKT OpenBook at the new prices have a variety of alternative market data products from which to choose, n21 or if NYSE MKT OpenBook does not provide sufficient value to firms as offered based on the uses those firms have or planned to make of it, such firms may simply choose to conduct their business operations in ways that do not use NYSE MKT OpenBook or use it at different levels or in different configurations. The Exchange notes that broker-dealers are not required to purchase proprietary market data to comply with their best execution obligations.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BATS Rule 11.22(a) and (c) (BATS TCP Pitch and Multicast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w:t>
      </w:r>
      <w:r>
        <w:rPr>
          <w:rFonts w:ascii="arial" w:eastAsia="arial" w:hAnsi="arial" w:cs="arial"/>
          <w:b/>
          <w:i w:val="0"/>
          <w:strike w:val="0"/>
          <w:noProof w:val="0"/>
          <w:color w:val="000000"/>
          <w:position w:val="0"/>
          <w:sz w:val="20"/>
          <w:u w:val="none"/>
          <w:vertAlign w:val="baseline"/>
        </w:rPr>
        <w:t> [*3517] </w:t>
      </w:r>
      <w:r>
        <w:rPr>
          <w:rFonts w:ascii="arial" w:eastAsia="arial" w:hAnsi="arial" w:cs="arial"/>
          <w:b w:val="0"/>
          <w:i w:val="0"/>
          <w:strike w:val="0"/>
          <w:noProof w:val="0"/>
          <w:color w:val="000000"/>
          <w:position w:val="0"/>
          <w:sz w:val="20"/>
          <w:u w:val="none"/>
          <w:vertAlign w:val="baseline"/>
        </w:rPr>
        <w:t xml:space="preserve">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n26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Concept Release on Equity Market Structure, Securities Exchange Act Release No. 61358 (Jan. 14, 2010), </w:t>
      </w:r>
      <w:hyperlink r:id="rId22"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2"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[*3518] </w:t>
      </w:r>
      <w:r>
        <w:rPr>
          <w:rFonts w:ascii="arial" w:eastAsia="arial" w:hAnsi="arial" w:cs="arial"/>
          <w:b w:val="0"/>
          <w:i w:val="0"/>
          <w:strike w:val="0"/>
          <w:noProof w:val="0"/>
          <w:color w:val="000000"/>
          <w:position w:val="0"/>
          <w:sz w:val="20"/>
          <w:u w:val="none"/>
          <w:vertAlign w:val="baseline"/>
        </w:rPr>
        <w:t xml:space="preserve">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OpenBook unless their customers request it, and customers will not elect to pay the proposed fees unless NYSE MKT OpenBook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MKT and NYSE MKT's affiliates NYSE and NYSE Arca, Inc. ("NYSE Arca")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n28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4"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5"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6"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w:t>
      </w:r>
      <w:r>
        <w:rPr>
          <w:rFonts w:ascii="arial" w:eastAsia="arial" w:hAnsi="arial" w:cs="arial"/>
          <w:b/>
          <w:i w:val="0"/>
          <w:strike w:val="0"/>
          <w:noProof w:val="0"/>
          <w:color w:val="000000"/>
          <w:position w:val="0"/>
          <w:sz w:val="20"/>
          <w:u w:val="none"/>
          <w:vertAlign w:val="baseline"/>
        </w:rPr>
        <w:t> [*3519] </w:t>
      </w:r>
      <w:r>
        <w:rPr>
          <w:rFonts w:ascii="arial" w:eastAsia="arial" w:hAnsi="arial" w:cs="arial"/>
          <w:b w:val="0"/>
          <w:i w:val="0"/>
          <w:strike w:val="0"/>
          <w:noProof w:val="0"/>
          <w:color w:val="000000"/>
          <w:position w:val="0"/>
          <w:sz w:val="20"/>
          <w:u w:val="none"/>
          <w:vertAlign w:val="baseline"/>
        </w:rPr>
        <w:t xml:space="preserve"> market data at no charge on their Web sites in order to attract more order flow, and used revenue rebates from resulting additional executions to maintain low execution charges for their users. n30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MKT OpenBook,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n31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MKT OpenBook,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n32 of the Act and subparagraph (f)(2) of Rule 19b-4 n33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n34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SR-NYSEMKT-2016-03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SR-NYSEMKT-2016-03. This file number should be included on the subject line if email is used. To help the Commission process and review your comments more efficiently, please use only one method. The Commission will post all comments on the Commission's Internet Web site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SR-NYSEMKT-2016-03 and should be submitted on or before February 11, 2016. </w:t>
      </w:r>
      <w:r>
        <w:rPr>
          <w:rFonts w:ascii="arial" w:eastAsia="arial" w:hAnsi="arial" w:cs="arial"/>
          <w:b/>
          <w:i w:val="0"/>
          <w:strike w:val="0"/>
          <w:noProof w:val="0"/>
          <w:color w:val="000000"/>
          <w:position w:val="0"/>
          <w:sz w:val="20"/>
          <w:u w:val="none"/>
          <w:vertAlign w:val="baseline"/>
        </w:rPr>
        <w:t> [*3520]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2016-01053 Filed 1-20-16;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3514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WKT-1NS0-006W-8438-00000-00&amp;context=" TargetMode="External" /><Relationship Id="rId13" Type="http://schemas.openxmlformats.org/officeDocument/2006/relationships/hyperlink" Target="https://advance.lexis.com/api/document?collection=administrative-codes&amp;id=urn:contentItem:5D4W-7300-006W-83PP-00000-00&amp;context=" TargetMode="External" /><Relationship Id="rId14" Type="http://schemas.openxmlformats.org/officeDocument/2006/relationships/hyperlink" Target="https://advance.lexis.com/api/document?collection=administrative-codes&amp;id=urn:contentItem:5F1M-0BM0-006W-84P9-00000-00&amp;context=" TargetMode="External" /><Relationship Id="rId15" Type="http://schemas.openxmlformats.org/officeDocument/2006/relationships/hyperlink" Target="https://advance.lexis.com/api/document?collection=administrative-codes&amp;id=urn:contentItem:584X-MSJ0-006W-83Y8-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administrative-codes&amp;id=urn:contentItem:58YY-BD30-006W-80HW-00000-00&amp;context=" TargetMode="External" /><Relationship Id="rId18" Type="http://schemas.openxmlformats.org/officeDocument/2006/relationships/hyperlink" Target="http://www.opradata.com/pdf/fee_schedule.pdf" TargetMode="External" /><Relationship Id="rId19" Type="http://schemas.openxmlformats.org/officeDocument/2006/relationships/hyperlink" Target="https://advance.lexis.com/api/document?collection=cases&amp;id=urn:contentItem:803V-DT30-YB0V-T01B-00000-00&amp;context=" TargetMode="External" /><Relationship Id="rId2" Type="http://schemas.openxmlformats.org/officeDocument/2006/relationships/webSettings" Target="webSettings.xml" /><Relationship Id="rId20" Type="http://schemas.openxmlformats.org/officeDocument/2006/relationships/hyperlink" Target="http://www.sec.gov/rules/concept/s72899/buck1.htm" TargetMode="External" /><Relationship Id="rId21" Type="http://schemas.openxmlformats.org/officeDocument/2006/relationships/hyperlink" Target="http://www.justice.gov/iso/opa/atr/speeches/2011/at-speech-110516.html" TargetMode="External" /><Relationship Id="rId22" Type="http://schemas.openxmlformats.org/officeDocument/2006/relationships/hyperlink" Target="https://advance.lexis.com/api/document?collection=administrative-codes&amp;id=urn:contentItem:4Y6T-4FW0-006W-80SB-00000-00&amp;context=" TargetMode="External" /><Relationship Id="rId23" Type="http://schemas.openxmlformats.org/officeDocument/2006/relationships/hyperlink" Target="https://www.arcavision.com/Arcavision/arcalogin.jsp" TargetMode="External" /><Relationship Id="rId24" Type="http://schemas.openxmlformats.org/officeDocument/2006/relationships/hyperlink" Target="https://advance.lexis.com/api/document?collection=administrative-codes&amp;id=urn:contentItem:5C6V-V6N0-006W-80W6-00000-00&amp;context=" TargetMode="External" /><Relationship Id="rId25" Type="http://schemas.openxmlformats.org/officeDocument/2006/relationships/hyperlink" Target="https://advance.lexis.com/api/document?collection=administrative-codes&amp;id=urn:contentItem:512C-NGP0-006W-82VF-00000-00&amp;context=" TargetMode="External" /><Relationship Id="rId26" Type="http://schemas.openxmlformats.org/officeDocument/2006/relationships/hyperlink" Target="https://advance.lexis.com/api/document?collection=administrative-codes&amp;id=urn:contentItem:512C-NGP0-006W-82VH-00000-00&amp;context=" TargetMode="External" /><Relationship Id="rId27" Type="http://schemas.openxmlformats.org/officeDocument/2006/relationships/hyperlink" Target="http://www.sec.gov/rules/sro.shtml" TargetMode="External" /><Relationship Id="rId28" Type="http://schemas.openxmlformats.org/officeDocument/2006/relationships/hyperlink" Target="mailto:rule-comments@sec.gov" TargetMode="External" /><Relationship Id="rId29" Type="http://schemas.openxmlformats.org/officeDocument/2006/relationships/hyperlink" Target="https://advance.lexis.com/api/document?collection=administrative-codes&amp;id=urn:contentItem:5SPP-2120-008G-Y2ND-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X1-G1G0-006W-84G0-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3484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