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3547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013, Thursday, January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3547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January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Arca, Inc.; Notice of Filing and Immediate Effectiveness of Proposed Rule Change Amending the Fees for NYSE ArcaBook</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34-76903; File No. SR-NYSEARCA-2016-01]</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14,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January 4, 2016, NYSE Arca, Inc. (the "Exchange" or "NYSE Arca") filed with the Securities and Exchange Commission (the "Commission" or "SEC")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ArcaBook to: (1) Establish a multiple data feed fee; (2) discontinue fees relating to managed non-display; and (3) modify the application of the non-professional user fee cap.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w:t>
      </w:r>
      <w:r>
        <w:rPr>
          <w:rFonts w:ascii="arial" w:eastAsia="arial" w:hAnsi="arial" w:cs="arial"/>
          <w:b/>
          <w:i w:val="0"/>
          <w:strike w:val="0"/>
          <w:noProof w:val="0"/>
          <w:color w:val="000000"/>
          <w:position w:val="0"/>
          <w:sz w:val="20"/>
          <w:u w:val="none"/>
          <w:vertAlign w:val="baseline"/>
        </w:rPr>
        <w:t> [*3548] </w:t>
      </w:r>
      <w:r>
        <w:rPr>
          <w:rFonts w:ascii="arial" w:eastAsia="arial" w:hAnsi="arial" w:cs="arial"/>
          <w:b w:val="0"/>
          <w:i w:val="0"/>
          <w:strike w:val="0"/>
          <w:noProof w:val="0"/>
          <w:color w:val="000000"/>
          <w:position w:val="0"/>
          <w:sz w:val="20"/>
          <w:u w:val="none"/>
          <w:vertAlign w:val="baseline"/>
        </w:rPr>
        <w:t xml:space="preserve">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ArcaBook, n4 as set forth on the NYSE Arca Equities Proprietary Market Data Fee Schedule ("Fee Schedule"). The Exchange proposes to make the following fee changes effective January 4,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53592 (June 7, 2006), </w:t>
      </w:r>
      <w:hyperlink r:id="rId12" w:history="1">
        <w:r>
          <w:rPr>
            <w:rFonts w:ascii="arial" w:eastAsia="arial" w:hAnsi="arial" w:cs="arial"/>
            <w:b w:val="0"/>
            <w:i/>
            <w:strike w:val="0"/>
            <w:noProof w:val="0"/>
            <w:color w:val="0077CC"/>
            <w:position w:val="0"/>
            <w:sz w:val="20"/>
            <w:u w:val="single"/>
            <w:vertAlign w:val="baseline"/>
          </w:rPr>
          <w:t>71 FR 33496</w:t>
        </w:r>
      </w:hyperlink>
      <w:r>
        <w:rPr>
          <w:rFonts w:ascii="arial" w:eastAsia="arial" w:hAnsi="arial" w:cs="arial"/>
          <w:b w:val="0"/>
          <w:i w:val="0"/>
          <w:strike w:val="0"/>
          <w:noProof w:val="0"/>
          <w:color w:val="000000"/>
          <w:position w:val="0"/>
          <w:sz w:val="20"/>
          <w:u w:val="none"/>
          <w:vertAlign w:val="baseline"/>
        </w:rPr>
        <w:t xml:space="preserve"> (June 9, 2006) (SR-NYSEArca-2006-21) ("2006 ArcaBook Notice"); 59039 (Dec. 2, 2008), </w:t>
      </w:r>
      <w:hyperlink r:id="rId13" w:history="1">
        <w:r>
          <w:rPr>
            <w:rFonts w:ascii="arial" w:eastAsia="arial" w:hAnsi="arial" w:cs="arial"/>
            <w:b w:val="0"/>
            <w:i/>
            <w:strike w:val="0"/>
            <w:noProof w:val="0"/>
            <w:color w:val="0077CC"/>
            <w:position w:val="0"/>
            <w:sz w:val="20"/>
            <w:u w:val="single"/>
            <w:vertAlign w:val="baseline"/>
          </w:rPr>
          <w:t>73 FR 74770</w:t>
        </w:r>
      </w:hyperlink>
      <w:r>
        <w:rPr>
          <w:rFonts w:ascii="arial" w:eastAsia="arial" w:hAnsi="arial" w:cs="arial"/>
          <w:b w:val="0"/>
          <w:i w:val="0"/>
          <w:strike w:val="0"/>
          <w:noProof w:val="0"/>
          <w:color w:val="000000"/>
          <w:position w:val="0"/>
          <w:sz w:val="20"/>
          <w:u w:val="none"/>
          <w:vertAlign w:val="baseline"/>
        </w:rPr>
        <w:t xml:space="preserve"> (Dec. 9, 2008) (SR-NYSEArca-2006-21); 69315 (April 5, 2013), </w:t>
      </w:r>
      <w:hyperlink r:id="rId14" w:history="1">
        <w:r>
          <w:rPr>
            <w:rFonts w:ascii="arial" w:eastAsia="arial" w:hAnsi="arial" w:cs="arial"/>
            <w:b w:val="0"/>
            <w:i/>
            <w:strike w:val="0"/>
            <w:noProof w:val="0"/>
            <w:color w:val="0077CC"/>
            <w:position w:val="0"/>
            <w:sz w:val="20"/>
            <w:u w:val="single"/>
            <w:vertAlign w:val="baseline"/>
          </w:rPr>
          <w:t>78 FR 21668</w:t>
        </w:r>
      </w:hyperlink>
      <w:r>
        <w:rPr>
          <w:rFonts w:ascii="arial" w:eastAsia="arial" w:hAnsi="arial" w:cs="arial"/>
          <w:b w:val="0"/>
          <w:i w:val="0"/>
          <w:strike w:val="0"/>
          <w:noProof w:val="0"/>
          <w:color w:val="000000"/>
          <w:position w:val="0"/>
          <w:sz w:val="20"/>
          <w:u w:val="none"/>
          <w:vertAlign w:val="baseline"/>
        </w:rPr>
        <w:t xml:space="preserve"> (April 11, 2013) (SR-NYSEArca-2013-37) ("2013 Non-Display Filing"); 72560 (July 8, 2014), </w:t>
      </w:r>
      <w:hyperlink r:id="rId15" w:history="1">
        <w:r>
          <w:rPr>
            <w:rFonts w:ascii="arial" w:eastAsia="arial" w:hAnsi="arial" w:cs="arial"/>
            <w:b w:val="0"/>
            <w:i/>
            <w:strike w:val="0"/>
            <w:noProof w:val="0"/>
            <w:color w:val="0077CC"/>
            <w:position w:val="0"/>
            <w:sz w:val="20"/>
            <w:u w:val="single"/>
            <w:vertAlign w:val="baseline"/>
          </w:rPr>
          <w:t>79 FR 40801</w:t>
        </w:r>
      </w:hyperlink>
      <w:r>
        <w:rPr>
          <w:rFonts w:ascii="arial" w:eastAsia="arial" w:hAnsi="arial" w:cs="arial"/>
          <w:b w:val="0"/>
          <w:i w:val="0"/>
          <w:strike w:val="0"/>
          <w:noProof w:val="0"/>
          <w:color w:val="000000"/>
          <w:position w:val="0"/>
          <w:sz w:val="20"/>
          <w:u w:val="none"/>
          <w:vertAlign w:val="baseline"/>
        </w:rPr>
        <w:t xml:space="preserve"> (July 14, 2014) (SR-NYSEArca-2014-72) ("2014 ArcaBook Filing"); 73011 (Sept. 5, 2014), </w:t>
      </w:r>
      <w:hyperlink r:id="rId16" w:history="1">
        <w:r>
          <w:rPr>
            <w:rFonts w:ascii="arial" w:eastAsia="arial" w:hAnsi="arial" w:cs="arial"/>
            <w:b w:val="0"/>
            <w:i/>
            <w:strike w:val="0"/>
            <w:noProof w:val="0"/>
            <w:color w:val="0077CC"/>
            <w:position w:val="0"/>
            <w:sz w:val="20"/>
            <w:u w:val="single"/>
            <w:vertAlign w:val="baseline"/>
          </w:rPr>
          <w:t>79 FR 54315</w:t>
        </w:r>
      </w:hyperlink>
      <w:r>
        <w:rPr>
          <w:rFonts w:ascii="arial" w:eastAsia="arial" w:hAnsi="arial" w:cs="arial"/>
          <w:b w:val="0"/>
          <w:i w:val="0"/>
          <w:strike w:val="0"/>
          <w:noProof w:val="0"/>
          <w:color w:val="000000"/>
          <w:position w:val="0"/>
          <w:sz w:val="20"/>
          <w:u w:val="none"/>
          <w:vertAlign w:val="baseline"/>
        </w:rPr>
        <w:t xml:space="preserve"> (Sept. 11, 2014) (SR-NYSEARCA-2014-93) ("2014 Non-Display Filing"); and 74011 (Jan. 7, 2015), </w:t>
      </w:r>
      <w:r>
        <w:rPr>
          <w:rFonts w:ascii="arial" w:eastAsia="arial" w:hAnsi="arial" w:cs="arial"/>
          <w:b w:val="0"/>
          <w:i/>
          <w:strike w:val="0"/>
          <w:noProof w:val="0"/>
          <w:color w:val="000000"/>
          <w:position w:val="0"/>
          <w:sz w:val="20"/>
          <w:u w:val="none"/>
          <w:vertAlign w:val="baseline"/>
        </w:rPr>
        <w:t>80 FR 1681</w:t>
      </w:r>
      <w:r>
        <w:rPr>
          <w:rFonts w:ascii="arial" w:eastAsia="arial" w:hAnsi="arial" w:cs="arial"/>
          <w:b w:val="0"/>
          <w:i w:val="0"/>
          <w:strike w:val="0"/>
          <w:noProof w:val="0"/>
          <w:color w:val="000000"/>
          <w:position w:val="0"/>
          <w:sz w:val="20"/>
          <w:u w:val="none"/>
          <w:vertAlign w:val="baseline"/>
        </w:rPr>
        <w:t xml:space="preserve"> (Jan. 13, 2015) (SR-NYSEArca-2014-149) ("2015 ArcaBook Filing").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multiple data feed fee;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Discontinue fees relating to managed non-display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also proposes to modify the application of the non-professional fee cap, effective April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Data Feed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establish a new monthly fee, the "Multiple Data Feed Fee," that would apply to data recipients that take a data feed for a market data product in more than two locations. Data recipients taking NYSE ArcaBook in more than two locations would be charged $ 200 per additional location per month. No new reporting would be required.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Data vendors currently report a unique Vendor Account Number for each location at which they provide a data feed to a data recipient. The Exchange considers each Vendor Account Number a location. For example, if a data recipient has five Vendor Account Numbers, representing five locations, for the receipt of the NYSE ArcaBook product, that data recipient will pay the Multiple Data Feed fee with respect to three of the five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Managed Non-Display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Non-Display Use of NYSE Arca market data means accessing, processing, or consuming NYSE Arca market data delivered via direct and/or Redistributor n6 data feeds for a purpose other than in support of a data recipient's display usage or further internal or external redistribution. n7 Managed Non-Display Services fees apply when a data recipient's non-display applications are hosted by a Redistributor that has been approved for Managed Non-Display Services. n8 A Redistributor approved for Managed Non-Display Services manages and controls the access to NYSE ArcaBook and does not allow for further internal distribution or external redistribution of NYSE ArcaBook by the data recipients. A Redistributor approved for Managed Non-Display Services is required to report to NYSE Arca on a monthly basis the data recipients that are receiving NYSE Arca market data through the Redistributor's managed non-display service and the real-time NYSE Arca market data products that such data recipients are receiving through such service. Recipients of data through Managed Non-Display Service have no additional reporting requirements. Data recipients that receive NYSE ArcaBook from an approved Redistributor of Managed Non-Display Services are charged an access fee of $ 1,000 per month and a Managed Non-Display Services Fee of $ 1,800 per month, for a total fee of $ 2,800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"Redistributor" means a vendor or any other person that provides an NYSE Arca data product to a data recipient or to any system that a data recipient uses, irrespective of the means of transmission 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2015 ArcaBook Filing,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To be approved for Managed Non-Display Services, a Redistributor must manage and control the access to NYSE ArcaBook for data recipients' non-display applications and not allow for further internal distribution or external redistribution of the information by data recipients. In addition, the Redistributor is required to (a) host the data recipients' non-display applications in equipment located in the Redistributor's data center and/or hosted space/cage and (b) offer NYSE ArcaBook in the Redistributor's own messaging formats (rather than using raw NYSE message formats) by reformatting and/or altering NYSE ArcaBook prior to retransmission without affecting the integrity of NYSE ArcaBook and without rendering NYSE ArcaBook inaccurate, unfair, uninformative, fictitious, misleading or discriminatory.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discontinue the fees related to Managed Non-Display Services because of the limited number of Redistributors that have qualified for Managed Non-Display Services and the administrative burdens associated with the program in light of the limited number of Redistributors that have qualified for Managed Non-Display Services. As proposed, all data recipients currently using NYSE ArcaBook on a managed non-display basis would be subject to the same access fee of $ 2,000 per month, and the same non-display services fees, n9 as other data recipients.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In order to harmonize its approach to fees for its market data products, the Exchange is simultaneously proposing to remove fees related to Managed Non-Display Services for NYSE Arca BBO, NYSE Arca Trades, and NYSE Arca Integrated Feed.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SR-NYSEArca-2016-02 and SR-NYSEArca-2016-03.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Non-Professional User Fee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display use of the NYSE ArcaBook data feed, the Fee Schedule sets forth a Professional User Fee of $ 40 per user per month and a Non-Professional User Fee than [sic] ranges between $ 3 and $ 10 per user per month, depending on the number of users. These user fees generally apply to each display device that has access to NYSE ArcaBook.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customers that are broker-dealers, these fees are subject to a $ 40,000 per month cap on non-professional user fees (the "Non-Professional User Fee Cap"). n11 When adopting these fees, the Exchange adopted guidelines under which the broker-dealer would be eligible for the Non-Professional User Fee Cap notwithstanding the inclusion, temporarily or unintentionally, of a limited number of account-holding professional users (the "Professional User Exception"), subject to a complex set of conditions relating to the percentage of professional users, the relationship of those professional users to the broker-dealer, and the method of display and use of the data. n12 The Exchange proposed the Professional User Exception to the Non-Professional User Fee Cap to permit broker-dealers that primarily serve non-institutional brokerage account holders to offer an online client experience without undue administrative burdens while at the same time guarding against potential abuses by monitoring the use of the exception closely and reserving the right to deny application of the exception if a broker-dealer is determined to be misusing it, such as by opening up retail brokerage accounts to disseminate data to institutional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ArcaBook Filing,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In the 2006 ArcaBook Notice, the Exchange described the Non-Professional User Fee Cap as being subject to being increased (but not decreased) by the percentage increase (if any) in the annual composite share volume for the calendar year preceding that calendar year, subject to a maximum annual increase of five percent. The Exchange has waived its right to implement the increases it would have been entitled to implement and has not increased the fee cap commensurately and hereby proposes to set the fee cap at a constant $ 40,000 per month that would not be subject to any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2006 ArcaBook Notice,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eliminate the Professional User Exception for NYSE ArcaBook effective April 1, 2016. The Exchange notes the Professional User Exception was an accommodation, the benefits of which were, when implemented, outweighed by the complexity of the terms of the exception and the burdens on customers and on the Exchange that have to track compliance with the exception. In addition, the Exchange notes that the </w:t>
      </w:r>
      <w:r>
        <w:rPr>
          <w:rFonts w:ascii="arial" w:eastAsia="arial" w:hAnsi="arial" w:cs="arial"/>
          <w:b/>
          <w:i w:val="0"/>
          <w:strike w:val="0"/>
          <w:noProof w:val="0"/>
          <w:color w:val="000000"/>
          <w:position w:val="0"/>
          <w:sz w:val="20"/>
          <w:u w:val="none"/>
          <w:vertAlign w:val="baseline"/>
        </w:rPr>
        <w:t> [*3549] </w:t>
      </w:r>
      <w:r>
        <w:rPr>
          <w:rFonts w:ascii="arial" w:eastAsia="arial" w:hAnsi="arial" w:cs="arial"/>
          <w:b w:val="0"/>
          <w:i w:val="0"/>
          <w:strike w:val="0"/>
          <w:noProof w:val="0"/>
          <w:color w:val="000000"/>
          <w:position w:val="0"/>
          <w:sz w:val="20"/>
          <w:u w:val="none"/>
          <w:vertAlign w:val="baseline"/>
        </w:rPr>
        <w:t xml:space="preserve"> Professional User Exception has been used by a small number of customers since it was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as proposed, the Non-Professional User Fee Cap would no longer include any professional users that receive NYSE ArcaBook data feed and the Professional User fee of $ 40 per user per month would apply with respect to all Professional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Non-Substantive Change to the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Non-Professional User Fee Cap applies, as noted above, to any broker-dealer for non-professional subscribers that maintain brokerage accounts with the broker-dealer. The Exchange proposes to specify in the Fee Schedule that the cap applies to broker-dealers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n13 in general, and Sections 6(b)(4) and 6(b)(5) of the Act, n14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7"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7"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are also equitable and not unfairly discriminatory because they will apply to all data recipients that choose to subscribe to NYSE ArcaBook.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Data Feed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require data recipients to pay a modest additional fee [sic] taking a data feed for a market data product in more than two locations, because such data recipients can derive substantial value from being able to consume the product in as many locations as they want. In addition, there are administrative burdens associated with tracking each location at which a data recipient receives the product. The Multiple Data Feed Fee is designed to encourage data recipients to better manage their requests for additional data feeds and to monitor their usage of data feeds. The proposed fee is designed to apply to data feeds received in more than two locations so that each data recipient can have one primary and one backup data location before having to pay a multiple data feed fee. The Exchange notes that this pricing is consistent with similar pricing adopted in 2013 by the Consolidated Tape Association ("CTA"). n15 The Exchange also notes that the OPRA Plan imposes a similar charge of $ 100 per connection for circuit connections in addition to the primary and backup connections.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70010 (July 19, 2013), </w:t>
      </w:r>
      <w:hyperlink r:id="rId18" w:history="1">
        <w:r>
          <w:rPr>
            <w:rFonts w:ascii="arial" w:eastAsia="arial" w:hAnsi="arial" w:cs="arial"/>
            <w:b w:val="0"/>
            <w:i/>
            <w:strike w:val="0"/>
            <w:noProof w:val="0"/>
            <w:color w:val="0077CC"/>
            <w:position w:val="0"/>
            <w:sz w:val="20"/>
            <w:u w:val="single"/>
            <w:vertAlign w:val="baseline"/>
          </w:rPr>
          <w:t>78 FR 44984</w:t>
        </w:r>
      </w:hyperlink>
      <w:r>
        <w:rPr>
          <w:rFonts w:ascii="arial" w:eastAsia="arial" w:hAnsi="arial" w:cs="arial"/>
          <w:b w:val="0"/>
          <w:i w:val="0"/>
          <w:strike w:val="0"/>
          <w:noProof w:val="0"/>
          <w:color w:val="000000"/>
          <w:position w:val="0"/>
          <w:sz w:val="20"/>
          <w:u w:val="none"/>
          <w:vertAlign w:val="baseline"/>
        </w:rPr>
        <w:t xml:space="preserve"> (July 25, 2013) (SR-CTA/CQ-2013-04).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"Direct Access Fee," Options Price Reporting Authority Fee Schedule Fee Schedule PRA Plan [sic] at </w:t>
      </w:r>
      <w:hyperlink r:id="rId19" w:history="1">
        <w:r>
          <w:rPr>
            <w:rFonts w:ascii="arial" w:eastAsia="arial" w:hAnsi="arial" w:cs="arial"/>
            <w:b w:val="0"/>
            <w:i/>
            <w:strike w:val="0"/>
            <w:noProof w:val="0"/>
            <w:color w:val="0077CC"/>
            <w:position w:val="0"/>
            <w:sz w:val="20"/>
            <w:u w:val="single"/>
            <w:vertAlign w:val="baseline"/>
          </w:rPr>
          <w:t>http://www.opradata.com/pdf/fee_schedule.pdf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Managed Non-Display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discontinue Managed Non-Display Fees. As the Exchange noted in the 2013 Non-Display Filing, the Exchange determined at that time that its fee structure, which was then based primarily on counting both display and non-display devices, was no longer appropriate in light of market and technology developments. Since then, the Exchange also modified its approach to display and non-display fees with changes to the fees as reflected in the 2014 Non-Display Filing. n17 Discontinuing the fees applicable to Managed Non-Display as proposed reflects the Exchange's continuing review and consideration of the application of non-display fees, and would harmonize and simplify the application of Non-Display Use fees by applying them consistently to all users. In particular, after further experience with the application of non-display use fees, the Exchange believes that it is more equitable and less discriminatory to discontinue the distinction for Managed Non-Display services because all data recipients using data on a non-display basis are using it in a comparable way and should be subject to similar fees regardless of whether or not they receive the data directly from the Exchange. The Exchange believes that applying the same non-display fees to all data recipients on the same basis better reflects the significant value of non-display data to data recipients and eliminates what is effectively a discount for certain data recipients, and as such is not unfairly discriminatory. The Exchange believes that the non-display fees directly and appropriately reflect the significant value of using non-display data in a wide range of computer-automated functions relating to both trading and non-trading activities and that the number and range of these functions continue to grow through innovation and technology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Non-Professional User Fee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modify the application of the non-professional user fee cap by eliminating the Professional User Exception. The Exchange notes that the Professional User Exception was an accommodation, the benefits of which were, when implemented, outweighed by the complexity of the terms of the exception and the burdens on customers and on the Exchange entailed with tracking compliance with the exception. Eliminating the Professional User Exception would make the application of the Non-Professional User Fee Cap simpler and ease administrative burdens for customers and the Exchange by removing an administrative exception that has had limited use and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Non-Substantive Changes to the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specifying in the Fee Schedule that the Non-Professional User Fee Cap applies to broker-dealers only will remove impediments to and help perfect a free and open market by providing greater transparency for the Exchange's customers regarding the application of the Non-Professional User Fee Cap as previously filed with the Commission and applicable to the existing Fee Schedule.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ArcaBook Filing,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ArcaBook is entirely optional. The Exchange is not required to make NYSE ArcaBook available or to offer any specific pricing alternatives to any customers, nor is any firm required to purchase NYSE ArcaBook. Firms that do purchase NYSE ArcaBook do so for the primary goals of using it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ArcaBook or any other similar products are attractively priced or not.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Proposing Release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Securities Exchange Act Release No. 76474 (Nov. 18, 2015) (File No. S7-23-15).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"Brokers Warned Not to Steer Clients' Stock Trades Into Slow Lane," Bloomberg Business, December 14, 2015 (Sigma X dark pool to use direct exchange feeds as the primary source of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Firms that do not wish to purchase NYSE ArcaBook at the new prices have a variety of alternative market data products from which to choose, n20 or if NYSE ArcaBook does not provide </w:t>
      </w:r>
      <w:r>
        <w:rPr>
          <w:rFonts w:ascii="arial" w:eastAsia="arial" w:hAnsi="arial" w:cs="arial"/>
          <w:b/>
          <w:i w:val="0"/>
          <w:strike w:val="0"/>
          <w:noProof w:val="0"/>
          <w:color w:val="000000"/>
          <w:position w:val="0"/>
          <w:sz w:val="20"/>
          <w:u w:val="none"/>
          <w:vertAlign w:val="baseline"/>
        </w:rPr>
        <w:t> [*3550] </w:t>
      </w:r>
      <w:r>
        <w:rPr>
          <w:rFonts w:ascii="arial" w:eastAsia="arial" w:hAnsi="arial" w:cs="arial"/>
          <w:b w:val="0"/>
          <w:i w:val="0"/>
          <w:strike w:val="0"/>
          <w:noProof w:val="0"/>
          <w:color w:val="000000"/>
          <w:position w:val="0"/>
          <w:sz w:val="20"/>
          <w:u w:val="none"/>
          <w:vertAlign w:val="baseline"/>
        </w:rPr>
        <w:t xml:space="preserve"> sufficient value to firms as offered based on the uses those firms have or planned to make of it, such firms may simply choose to conduct their business operations in ways that do not use NYSE ArcaBook or use it at different levels or in different configurations. The Exchange notes that broker-dealers are not required to purchase proprietary market data to comply with their best execution obligations.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 (Nasdaq Totalview) and BATS Rule 11.22(a) and (c) (BATS TCP Pitch and Multicast Pitch).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15-46, "Best Execution," November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20"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20"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20"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not be done practically or offer any significant benefits.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1"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n25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Concept Release on Equity Market Structure, Securities Exchange Act Release No. 61358 (Jan. 14, 2010), </w:t>
      </w:r>
      <w:hyperlink r:id="rId23"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3"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4"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 </w:t>
      </w:r>
      <w:r>
        <w:rPr>
          <w:rFonts w:ascii="arial" w:eastAsia="arial" w:hAnsi="arial" w:cs="arial"/>
          <w:b/>
          <w:i w:val="0"/>
          <w:strike w:val="0"/>
          <w:noProof w:val="0"/>
          <w:color w:val="000000"/>
          <w:position w:val="0"/>
          <w:sz w:val="20"/>
          <w:u w:val="none"/>
          <w:vertAlign w:val="baseline"/>
        </w:rPr>
        <w:t> [*3551]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in light of the diminished content and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ArcaBook unless their customers request it, and customers will not elect to pay the proposed fees unless NYSE ArcaBook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September 2015, more than 80% of the transaction volume on each of the Exchange and the Exchange's affiliates New York Stock Exchange LLC ("NYSE") and NYSE MKT LLC ("NYSE MKT") was executed by market participants that purchased one or more proprietary market data products (the 20 firms were not the same for each market). A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n27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5"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6"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27"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 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11 equities self-regulatory organization ("SRO") markets, as well as various forms of alternative trading systems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w:t>
      </w:r>
      <w:r>
        <w:rPr>
          <w:rFonts w:ascii="arial" w:eastAsia="arial" w:hAnsi="arial" w:cs="arial"/>
          <w:b/>
          <w:i w:val="0"/>
          <w:strike w:val="0"/>
          <w:noProof w:val="0"/>
          <w:color w:val="000000"/>
          <w:position w:val="0"/>
          <w:sz w:val="20"/>
          <w:u w:val="none"/>
          <w:vertAlign w:val="baseline"/>
        </w:rPr>
        <w:t> [*3552] </w:t>
      </w:r>
      <w:r>
        <w:rPr>
          <w:rFonts w:ascii="arial" w:eastAsia="arial" w:hAnsi="arial" w:cs="arial"/>
          <w:b w:val="0"/>
          <w:i w:val="0"/>
          <w:strike w:val="0"/>
          <w:noProof w:val="0"/>
          <w:color w:val="000000"/>
          <w:position w:val="0"/>
          <w:sz w:val="20"/>
          <w:u w:val="none"/>
          <w:vertAlign w:val="baseline"/>
        </w:rPr>
        <w:t xml:space="preserve">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Global Markets ("BATS") and Direct Edge, which previously operated as ATSs and obtained exchange status in 2008 and 2010, respectively, provided certain market data at no charge on their Web sites in order to attract more order flow, and used revenue rebates from resulting additional executions to maintain low execution charges for their users. n29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including but not limited to the Exchange, NYSE, NYSE MKT, NASDAQ OMX,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With respect to NYSE ArcaBook,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 close substitute products. n30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As noted above, BATS launched as an ATS in 2006 and became an exchange in 2008, while Direct Edge began operations in 2007 and obtained exchange status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proposed changes to the fees for NYSE ArcaBook,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n31 of the Act and subparagraph (f)(2) of Rule 19b-4 n32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n33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SR-NYSEARCA-2016-01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SR-NYSEARCA-2016-01. This file number should be included on the subject line if email is used. To help the Commission process and review your comments more efficiently, please use only one method. The Commission will post all comments on the Commission's Internet Web site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w:t>
      </w:r>
      <w:r>
        <w:rPr>
          <w:rFonts w:ascii="arial" w:eastAsia="arial" w:hAnsi="arial" w:cs="arial"/>
          <w:b/>
          <w:i w:val="0"/>
          <w:strike w:val="0"/>
          <w:noProof w:val="0"/>
          <w:color w:val="000000"/>
          <w:position w:val="0"/>
          <w:sz w:val="20"/>
          <w:u w:val="none"/>
          <w:vertAlign w:val="baseline"/>
        </w:rPr>
        <w:t> [*3553] </w:t>
      </w:r>
      <w:r>
        <w:rPr>
          <w:rFonts w:ascii="arial" w:eastAsia="arial" w:hAnsi="arial" w:cs="arial"/>
          <w:b w:val="0"/>
          <w:i w:val="0"/>
          <w:strike w:val="0"/>
          <w:noProof w:val="0"/>
          <w:color w:val="000000"/>
          <w:position w:val="0"/>
          <w:sz w:val="20"/>
          <w:u w:val="none"/>
          <w:vertAlign w:val="baseline"/>
        </w:rPr>
        <w:t xml:space="preserv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SR-NYSEARCA-2016-01 and should be submitted on or before February 11,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30"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2016-01055 Filed 1-20-16;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3547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http://www.nyse.com" TargetMode="External" /><Relationship Id="rId12" Type="http://schemas.openxmlformats.org/officeDocument/2006/relationships/hyperlink" Target="https://advance.lexis.com/api/document?collection=administrative-codes&amp;id=urn:contentItem:4K4V-V5C0-006W-82HK-00000-00&amp;context=" TargetMode="External" /><Relationship Id="rId13" Type="http://schemas.openxmlformats.org/officeDocument/2006/relationships/hyperlink" Target="https://advance.lexis.com/api/document?collection=administrative-codes&amp;id=urn:contentItem:4V3T-8BP0-006W-834G-00000-00&amp;context=" TargetMode="External" /><Relationship Id="rId14" Type="http://schemas.openxmlformats.org/officeDocument/2006/relationships/hyperlink" Target="https://advance.lexis.com/api/document?collection=administrative-codes&amp;id=urn:contentItem:585J-J500-006W-84DC-00000-00&amp;context=" TargetMode="External" /><Relationship Id="rId15" Type="http://schemas.openxmlformats.org/officeDocument/2006/relationships/hyperlink" Target="https://advance.lexis.com/api/document?collection=administrative-codes&amp;id=urn:contentItem:5CNF-9K50-006W-81X6-00000-00&amp;context=" TargetMode="External" /><Relationship Id="rId16" Type="http://schemas.openxmlformats.org/officeDocument/2006/relationships/hyperlink" Target="https://advance.lexis.com/api/document?collection=administrative-codes&amp;id=urn:contentItem:5D41-YDV0-006W-83CB-00000-00&amp;context=" TargetMode="External" /><Relationship Id="rId17" Type="http://schemas.openxmlformats.org/officeDocument/2006/relationships/hyperlink" Target="https://advance.lexis.com/api/document?collection=statutes-legislation&amp;id=urn:contentItem:4YF7-GPC1-NRF4-4309-00000-00&amp;context=" TargetMode="External" /><Relationship Id="rId18" Type="http://schemas.openxmlformats.org/officeDocument/2006/relationships/hyperlink" Target="https://advance.lexis.com/api/document?collection=administrative-codes&amp;id=urn:contentItem:58YY-BD30-006W-80HW-00000-00&amp;context=" TargetMode="External" /><Relationship Id="rId19" Type="http://schemas.openxmlformats.org/officeDocument/2006/relationships/hyperlink" Target="http://www.opradata.com/pdf/fee_schedule.pdf"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803V-DT30-YB0V-T01B-00000-00&amp;context=" TargetMode="External" /><Relationship Id="rId21" Type="http://schemas.openxmlformats.org/officeDocument/2006/relationships/hyperlink" Target="http://www.sec.gov/rules/concept/s72899/buck1.htm" TargetMode="External" /><Relationship Id="rId22" Type="http://schemas.openxmlformats.org/officeDocument/2006/relationships/hyperlink" Target="http://www.justice.gov/iso/opa/atr/speeches/2011/at-speech-110516.html" TargetMode="External" /><Relationship Id="rId23" Type="http://schemas.openxmlformats.org/officeDocument/2006/relationships/hyperlink" Target="https://advance.lexis.com/api/document?collection=administrative-codes&amp;id=urn:contentItem:4Y6T-4FW0-006W-80SB-00000-00&amp;context=" TargetMode="External" /><Relationship Id="rId24" Type="http://schemas.openxmlformats.org/officeDocument/2006/relationships/hyperlink" Target="https://www.arcavision.com/Arcavision/arcalogin.jsp" TargetMode="External" /><Relationship Id="rId25" Type="http://schemas.openxmlformats.org/officeDocument/2006/relationships/hyperlink" Target="https://advance.lexis.com/api/document?collection=administrative-codes&amp;id=urn:contentItem:5C6V-V6N0-006W-80W6-00000-00&amp;context=" TargetMode="External" /><Relationship Id="rId26" Type="http://schemas.openxmlformats.org/officeDocument/2006/relationships/hyperlink" Target="https://advance.lexis.com/api/document?collection=administrative-codes&amp;id=urn:contentItem:512C-NGP0-006W-82VF-00000-00&amp;context=" TargetMode="External" /><Relationship Id="rId27" Type="http://schemas.openxmlformats.org/officeDocument/2006/relationships/hyperlink" Target="https://advance.lexis.com/api/document?collection=administrative-codes&amp;id=urn:contentItem:512C-NGP0-006W-82VH-00000-00&amp;context=" TargetMode="External" /><Relationship Id="rId28" Type="http://schemas.openxmlformats.org/officeDocument/2006/relationships/hyperlink" Target="http://www.sec.gov/rules/sro.shtml" TargetMode="External" /><Relationship Id="rId29" Type="http://schemas.openxmlformats.org/officeDocument/2006/relationships/hyperlink" Target="mailto:rule-comments@sec.gov"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PP-2120-008G-Y2ND-00000-00&amp;context=" TargetMode="Externa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X1-G1G0-006W-84G6-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3484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71343232</vt:lpwstr>
  </property>
  <property fmtid="{D5CDD505-2E9C-101B-9397-08002B2CF9AE}" pid="3" name="LADocCount">
    <vt:lpwstr>1</vt:lpwstr>
  </property>
  <property fmtid="{D5CDD505-2E9C-101B-9397-08002B2CF9AE}" pid="4" name="UserPermID">
    <vt:lpwstr>urn:user:PA185916758</vt:lpwstr>
  </property>
</Properties>
</file>