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36346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108, Monday, June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36346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United States of America v. BBA Aviation plc, et al.; Public Comment and Response on Proposed Final Judgment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the United States hereby publishes below the comment received on the proposed Final Judgment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BBA Aviation plc, et al.,</w:t>
      </w:r>
      <w:r>
        <w:rPr>
          <w:rFonts w:ascii="arial" w:eastAsia="arial" w:hAnsi="arial" w:cs="arial"/>
          <w:b w:val="0"/>
          <w:i w:val="0"/>
          <w:strike w:val="0"/>
          <w:noProof w:val="0"/>
          <w:color w:val="000000"/>
          <w:position w:val="0"/>
          <w:sz w:val="20"/>
          <w:u w:val="none"/>
          <w:vertAlign w:val="baseline"/>
        </w:rPr>
        <w:t xml:space="preserve"> Civil Action No. 1:16-cv-00174, together with the Response of the United States to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comment and the United States' Response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9"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BBA Aviation PLC, Landmark U.S. Corp LLC,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LM U.S. Member LLC,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1:16-cv-00174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Amy Berman Jackson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RESPONSE OF PLAINTIFF UNITED STATES TO PUBLIC COMMENT ON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2(b)-(h)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("APPA" or "Tunney Act"), Plaintiff, the United States of America ("United States") hereby files the single public comment received concerning the proposed Final Judgment in this case and the United States's response to the comment. After careful consideration of the submitted comment, the United States continues to believe that the proposed Final Judgment ("PFJ")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The United States will move the Court for entry of the proposed Final Judgment after the public comment and this Response have been published in the </w:t>
      </w:r>
      <w:r>
        <w:rPr>
          <w:rFonts w:ascii="arial" w:eastAsia="arial" w:hAnsi="arial" w:cs="arial"/>
          <w:b/>
          <w:i w:val="0"/>
          <w:strike w:val="0"/>
          <w:noProof w:val="0"/>
          <w:color w:val="000000"/>
          <w:position w:val="0"/>
          <w:sz w:val="20"/>
          <w:u w:val="none"/>
          <w:vertAlign w:val="baseline"/>
        </w:rPr>
        <w:t> [*36347]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pursuant to </w:t>
      </w:r>
      <w:hyperlink r:id="rId8" w:history="1">
        <w:r>
          <w:rPr>
            <w:rFonts w:ascii="arial" w:eastAsia="arial" w:hAnsi="arial" w:cs="arial"/>
            <w:b w:val="0"/>
            <w:i/>
            <w:strike w:val="0"/>
            <w:noProof w:val="0"/>
            <w:color w:val="0077CC"/>
            <w:position w:val="0"/>
            <w:sz w:val="20"/>
            <w:u w:val="single"/>
            <w:vertAlign w:val="baseline"/>
          </w:rPr>
          <w:t>15 U.S.C. 16(d)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3, 2016,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alleging that the proposed acquisition by Defendant BBA Aviation plc ("Signature") of Defendants Landmark U.S. Corp LLC and LM U.S. Member LLC ("Landmark"), announced on September 23, 2015, would be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full-service fixed-based operator ("FBO") services at six airports in the United States, in violation of Section 7 of the Clayton Act, </w:t>
      </w:r>
      <w:hyperlink r:id="rId10"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Complaint further alleged that, as a result of the acquisition as originally proposed, prices for these services in the United States would likely have increased and customers would have received services of lower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Order"); a Proposed Final Judgment ("PFJ");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("CIS") that explains how the PFJ is designed to remedy the likely anticompetitive effects of the proposed acquisition. As required by the Tunney Act, the United States published the PFJ and CIS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10, 2016. In addition, the United States ensured that a summary of the terms of the PFJ and CIS, together with directions for the submission of the written comments, were published in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on seven different days during the period of February 6, 2016 to February 12,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)(c). The 60-day waiting period for public comments ended on April 12, 2016. Following expiration of that period, the United States received one comment, which is described below and attached hereto as Exhibit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STANDARD OF JUDICIAL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Tunney Act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60-day public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In considering these statutory factors, the court's inquiry is necessarily a limited one as the government is entitled to "broad discretion to settle with the defendant within the reaches of the public interest." </w:t>
      </w:r>
      <w:hyperlink r:id="rId11"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United States v. SBC Commc'ns, Inc., 489 F. Supp. 2d 1, 10-11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InBev N.V./S.A.,</w:t>
      </w:r>
      <w:r>
        <w:rPr>
          <w:rFonts w:ascii="arial" w:eastAsia="arial" w:hAnsi="arial" w:cs="arial"/>
          <w:b w:val="0"/>
          <w:i w:val="0"/>
          <w:strike w:val="0"/>
          <w:noProof w:val="0"/>
          <w:color w:val="000000"/>
          <w:position w:val="0"/>
          <w:sz w:val="20"/>
          <w:u w:val="none"/>
          <w:vertAlign w:val="baseline"/>
        </w:rPr>
        <w:t xml:space="preserve"> No. 08-cv-1965 (JR), </w:t>
      </w:r>
      <w:hyperlink r:id="rId13" w:history="1">
        <w:r>
          <w:rPr>
            <w:rFonts w:ascii="arial" w:eastAsia="arial" w:hAnsi="arial" w:cs="arial"/>
            <w:b w:val="0"/>
            <w:i/>
            <w:strike w:val="0"/>
            <w:noProof w:val="0"/>
            <w:color w:val="0077CC"/>
            <w:position w:val="0"/>
            <w:sz w:val="20"/>
            <w:u w:val="single"/>
            <w:vertAlign w:val="baseline"/>
          </w:rPr>
          <w:t>2009 U.S. Dist. LEXIS 84787,</w:t>
        </w:r>
      </w:hyperlink>
      <w:r>
        <w:rPr>
          <w:rFonts w:ascii="arial" w:eastAsia="arial" w:hAnsi="arial" w:cs="arial"/>
          <w:b w:val="0"/>
          <w:i w:val="0"/>
          <w:strike w:val="0"/>
          <w:noProof w:val="0"/>
          <w:color w:val="000000"/>
          <w:position w:val="0"/>
          <w:sz w:val="20"/>
          <w:u w:val="none"/>
          <w:vertAlign w:val="baseline"/>
        </w:rPr>
        <w:t xml:space="preserve"> at *3 (D.D.C. Aug. 11, 2009) (discussing nature of review of consent judgment under the Tunney Act; inquiry is limited 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mechanisms to enforce the final judgment are clear and manageable").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APPA, a court considers, among other things, the relationship between the remedy secured and the specific allegations set forth in the Complaint, whether the decree is sufficiently clear, whether the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1"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14"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(citing </w:t>
      </w:r>
      <w:hyperlink r:id="rId15"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Instead,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in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a proposed settlement is in the public interest, "the court must accord deference to the government's predictions about the efficacy of its remedies.'" </w:t>
      </w:r>
      <w:hyperlink r:id="rId16" w:history="1">
        <w:r>
          <w:rPr>
            <w:rFonts w:ascii="arial" w:eastAsia="arial" w:hAnsi="arial" w:cs="arial"/>
            <w:b w:val="0"/>
            <w:i/>
            <w:strike w:val="0"/>
            <w:noProof w:val="0"/>
            <w:color w:val="0077CC"/>
            <w:position w:val="0"/>
            <w:sz w:val="20"/>
            <w:u w:val="single"/>
            <w:vertAlign w:val="baseline"/>
          </w:rPr>
          <w:t>United States v. U.S. Airways Grp., Inc., 38 F. Supp. 3d 69, 76 (D.D.C. 2014)</w:t>
        </w:r>
      </w:hyperlink>
      <w:r>
        <w:rPr>
          <w:rFonts w:ascii="arial" w:eastAsia="arial" w:hAnsi="arial" w:cs="arial"/>
          <w:b w:val="0"/>
          <w:i w:val="0"/>
          <w:strike w:val="0"/>
          <w:noProof w:val="0"/>
          <w:color w:val="000000"/>
          <w:position w:val="0"/>
          <w:sz w:val="20"/>
          <w:u w:val="none"/>
          <w:vertAlign w:val="baseline"/>
        </w:rPr>
        <w:t xml:space="preserve"> (quoting </w:t>
      </w:r>
      <w:hyperlink r:id="rId17" w:history="1">
        <w:r>
          <w:rPr>
            <w:rFonts w:ascii="arial" w:eastAsia="arial" w:hAnsi="arial" w:cs="arial"/>
            <w:b w:val="0"/>
            <w:i/>
            <w:strike w:val="0"/>
            <w:noProof w:val="0"/>
            <w:color w:val="0077CC"/>
            <w:position w:val="0"/>
            <w:sz w:val="20"/>
            <w:u w:val="single"/>
            <w:vertAlign w:val="baseline"/>
          </w:rPr>
          <w:t>SBC Commc'ns, 489 F. Supp.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that the government is entitled to deference as to its "predictions as to the effect of the proposed remedies"); </w:t>
      </w:r>
      <w:hyperlink r:id="rId18"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the proposed remedies, its perception of the market structure, and its views of the nature of the case"); </w:t>
      </w:r>
      <w:hyperlink r:id="rId19" w:history="1">
        <w:r>
          <w:rPr>
            <w:rFonts w:ascii="arial" w:eastAsia="arial" w:hAnsi="arial" w:cs="arial"/>
            <w:b w:val="0"/>
            <w:i/>
            <w:strike w:val="0"/>
            <w:noProof w:val="0"/>
            <w:color w:val="0077CC"/>
            <w:position w:val="0"/>
            <w:sz w:val="20"/>
            <w:u w:val="single"/>
            <w:vertAlign w:val="baseline"/>
          </w:rPr>
          <w:t>United States v. Morgan Stanley, 881 F. Supp. 2d 563, 567-68 (S.D.N.Y. 2012)</w:t>
        </w:r>
      </w:hyperlink>
      <w:r>
        <w:rPr>
          <w:rFonts w:ascii="arial" w:eastAsia="arial" w:hAnsi="arial" w:cs="arial"/>
          <w:b w:val="0"/>
          <w:i w:val="0"/>
          <w:strike w:val="0"/>
          <w:noProof w:val="0"/>
          <w:color w:val="000000"/>
          <w:position w:val="0"/>
          <w:sz w:val="20"/>
          <w:u w:val="none"/>
          <w:vertAlign w:val="baseline"/>
        </w:rPr>
        <w:t xml:space="preserve"> (explaining that the government is entitled to deference in choice of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"may not require that the remedies perfectly match the alleged violations." </w:t>
      </w:r>
      <w:hyperlink r:id="rId12"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Rather, the ultimate question is whether "the remedies [obtained in the decree are] so inconsonant with the allegations charged as to fall outside of the reaches of the public interest.'" </w:t>
      </w:r>
      <w:hyperlink r:id="rId1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Accordingly, the United States "need only provide a factual basis for concluding that the settlements are reasonably adequate remedies for the alleged harms." </w:t>
      </w:r>
      <w:hyperlink r:id="rId12"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United States v. Apple, Inc. 889 F. Supp. 2d 623, 631 (S.D.N.Y. 2012).</w:t>
        </w:r>
      </w:hyperlink>
      <w:r>
        <w:rPr>
          <w:rFonts w:ascii="arial" w:eastAsia="arial" w:hAnsi="arial" w:cs="arial"/>
          <w:b w:val="0"/>
          <w:i w:val="0"/>
          <w:strike w:val="0"/>
          <w:noProof w:val="0"/>
          <w:color w:val="000000"/>
          <w:position w:val="0"/>
          <w:sz w:val="20"/>
          <w:u w:val="none"/>
          <w:vertAlign w:val="baseline"/>
        </w:rPr>
        <w:t xml:space="preserve"> And, a "proposed decree must be approved even if it falls short of the remedy the court would impose on its own, as long as it falls within the range of acceptability or is within the reaches of the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and internal quotations omitted);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to the Tunney Act, n1 Congress made clear its </w:t>
      </w:r>
      <w:r>
        <w:rPr>
          <w:rFonts w:ascii="arial" w:eastAsia="arial" w:hAnsi="arial" w:cs="arial"/>
          <w:b/>
          <w:i w:val="0"/>
          <w:strike w:val="0"/>
          <w:noProof w:val="0"/>
          <w:color w:val="000000"/>
          <w:position w:val="0"/>
          <w:sz w:val="20"/>
          <w:u w:val="none"/>
          <w:vertAlign w:val="baseline"/>
        </w:rPr>
        <w:t> [*36348] </w:t>
      </w:r>
      <w:r>
        <w:rPr>
          <w:rFonts w:ascii="arial" w:eastAsia="arial" w:hAnsi="arial" w:cs="arial"/>
          <w:b w:val="0"/>
          <w:i w:val="0"/>
          <w:strike w:val="0"/>
          <w:noProof w:val="0"/>
          <w:color w:val="000000"/>
          <w:position w:val="0"/>
          <w:sz w:val="20"/>
          <w:u w:val="none"/>
          <w:vertAlign w:val="baseline"/>
        </w:rPr>
        <w:t xml:space="preserve"> intent to preserve the practical benefits of using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The procedure for the public interest determination is left to the discretion of the court, with the recognition that the court's "scope of review remains sharply proscribed by precedent and the nature of the Tunney Act proceedings." </w:t>
      </w:r>
      <w:hyperlink r:id="rId1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16"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PUBLIC COMMENT AND THE UNITED STATES'S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received one public comment from the City of Dallas ("Dallas"). Though the comment was submitted after the deadline for comments had passed, the United States has nevertheless issued a full response. Dallas submitted the comment to express concern about the possible anticompetitive effects of Signature's acquisition of Landmark at Love Field Airport ("Love Field"), which Dallas operates. Combined, Signature and Landmark have 54 percent of the FBO market and lease nearly 70 percent of the FBO facilities at Love Field. Dallas submitted the comment to provide additional information about the situation at Love Field and highlight what Dallas believes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the PFJ does not address. In particular, Dallas is concerned that the PFJ would not require Signature to report future FBO acquisitions at Love Field to the United States. Dallas does not, however, argue in favor of a divesture of FBO assets at Love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appreciates Dallas's advocacy efforts on behalf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Love Field. The United States carefully considered the effects of the acquisition at Love Field and chose not to take enforcement action against such acquisition. Over the course of a five-month investigation, the United States reviewed party and third-party documents, conducted economic data analysis, and talked with dozens of industry participants including the Aviation Director for the City of Dallas. As a result of this investigation, the United States did not allege a violation of the Clayton Act resulting from the acquisition of Love Field in its Complaint. Therefore, the comment submitted by Dallas is not a comment addressing the question before the Court, which is whether the proposed remedy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Should any future acquisitions by Signature at Love Field raise a possibility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Dallas or any other affected party may raise those concerns with the United States to be evaluated at such future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public comment, the United States continues to believe that the PFJ, as drafted,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and is therefore in the public interest. The United States will move this Court to enter the PFJ soon after the comment and this response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/s/Patricia L. Sindel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Patricia L. Sindel,</w:t>
      </w:r>
      <w:r>
        <w:rPr>
          <w:rFonts w:ascii="arial" w:eastAsia="arial" w:hAnsi="arial" w:cs="arial"/>
          <w:b w:val="0"/>
          <w:i w:val="0"/>
          <w:strike w:val="0"/>
          <w:noProof w:val="0"/>
          <w:color w:val="000000"/>
          <w:position w:val="0"/>
          <w:sz w:val="20"/>
          <w:u w:val="none"/>
          <w:vertAlign w:val="baseline"/>
        </w:rPr>
        <w:t xml:space="preserve"> (D.C. Bar #997505),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Trial Attorney, Networks &amp; Technology Enforcement Section,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7100, Washington, DC 20530, Telephone: (202) 598-8300, Facsimile: (202) 616-8544, Email: </w:t>
      </w:r>
      <w:hyperlink r:id="rId22" w:history="1">
        <w:r>
          <w:rPr>
            <w:rFonts w:ascii="arial" w:eastAsia="arial" w:hAnsi="arial" w:cs="arial"/>
            <w:b w:val="0"/>
            <w:i/>
            <w:strike w:val="0"/>
            <w:noProof w:val="0"/>
            <w:color w:val="0077CC"/>
            <w:position w:val="0"/>
            <w:sz w:val="20"/>
            <w:u w:val="single"/>
            <w:vertAlign w:val="baseline"/>
          </w:rPr>
          <w:t>patricia.sindel@usdoj.gov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KAPLAN KIRSCH ROCKWELL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J. Tierney,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Networks &amp; Technology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BBA Aviation, PLC and Landmark U.S. Corp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 No. 1:16-cv-00174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Mr. Tierney: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counsel to the City of Dallas ("City"), Kaplan Kirsch &amp; Rockwell LLP ("Firm") submits these comments in the matter of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BBA Aviation, et al.,</w:t>
      </w:r>
      <w:r>
        <w:rPr>
          <w:rFonts w:ascii="arial" w:eastAsia="arial" w:hAnsi="arial" w:cs="arial"/>
          <w:b w:val="0"/>
          <w:i w:val="0"/>
          <w:strike w:val="0"/>
          <w:noProof w:val="0"/>
          <w:color w:val="000000"/>
          <w:position w:val="0"/>
          <w:sz w:val="20"/>
          <w:u w:val="none"/>
          <w:vertAlign w:val="baseline"/>
        </w:rPr>
        <w:t xml:space="preserve"> case no. 1:16-cv-00174, concerning the merger of BBA Aviation (parent corporation to Signature Flight Support Corporation ("Signature")), and Landmark U.S. Corp LLC ("Landmark"). The Firm and the City recognize that the deadline for comments on this matter has passed, but respectfully request that the Department of Justice accept these comments despite their tardiness.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Fed. Reg. 7144</w:t>
      </w:r>
      <w:r>
        <w:rPr>
          <w:rFonts w:ascii="arial" w:eastAsia="arial" w:hAnsi="arial" w:cs="arial"/>
          <w:b w:val="0"/>
          <w:i w:val="0"/>
          <w:strike w:val="0"/>
          <w:noProof w:val="0"/>
          <w:color w:val="000000"/>
          <w:position w:val="0"/>
          <w:sz w:val="20"/>
          <w:u w:val="none"/>
          <w:vertAlign w:val="baseline"/>
        </w:rPr>
        <w:t xml:space="preserve"> (Feb. 10, 2016) (setting 60-day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owns and operates Dallas Love Field Airport ("Love Field"). The City is concerned about the possible anticompetitive effects of the merger between Landmark and Signature at Love Field, where both Landmark and Signature currently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Presently, there are six (6) fixed base operator ("FBO") locations at Love Field, operated by five different FBO entities. Landmark operates one (1) of the FBO locations, and Signature operates two (2) of the locations. n2 In 2015, Signature's two (2) locations combined sold 40 percent of the total aviation fuel n3 at Love Field (by FBOs), and Landmark's single location sold 14 percent of the total aviation fuel. This, after the proposed merger, would result in 54 percent of the fuel at Love Field being provided by the "new"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Signature operates both Signature Flight Support (also known as Signature North) and Dalfort Fueling.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n3 100LL and Jet-A.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three (3) FBOs sold 46 percent of the fuel, with two smaller locations selling approximately 9 percent each, and one larger entity selling 28 percent. In addition to conducting a majority of the fuel sales, Landmark and Signature together lease nearly </w:t>
      </w:r>
      <w:r>
        <w:rPr>
          <w:rFonts w:ascii="arial" w:eastAsia="arial" w:hAnsi="arial" w:cs="arial"/>
          <w:b w:val="0"/>
          <w:i/>
          <w:strike w:val="0"/>
          <w:noProof w:val="0"/>
          <w:color w:val="000000"/>
          <w:position w:val="0"/>
          <w:sz w:val="20"/>
          <w:u w:val="none"/>
          <w:vertAlign w:val="baseline"/>
        </w:rPr>
        <w:t>70 percent</w:t>
      </w:r>
      <w:r>
        <w:rPr>
          <w:rFonts w:ascii="arial" w:eastAsia="arial" w:hAnsi="arial" w:cs="arial"/>
          <w:b w:val="0"/>
          <w:i w:val="0"/>
          <w:strike w:val="0"/>
          <w:noProof w:val="0"/>
          <w:color w:val="000000"/>
          <w:position w:val="0"/>
          <w:sz w:val="20"/>
          <w:u w:val="none"/>
          <w:vertAlign w:val="baseline"/>
        </w:rPr>
        <w:t xml:space="preserve"> of the total hangar, general aviation terminal facilities, and office space at Love Field. A chart with a breakdown of the data used to calculate these percentages is enclosed with this letter as Attachment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Department of Justice and Federal Trade Commission's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markets with an initial score over 2500 on the Herfindahl-Hirschman Index ("HHI") are considered "highly concentrated." n4 When a prospective merger in a highly concentrated market would result in an HHI increase of 200 or more, the transaction "will be presumed to be likely to enhance market power." n5 Such increases in HHI are considered indicators of transactions "for which it is particularly important to examine whether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factors confirm, reinforce, or counteract the potentially harmful effects of increased concentration."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Horizontal Merger Guidelines §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Love Field, the fuel flowage data suggests that the existing market is already highly concentrated, and that a merger of Signature and Landmark would increase the HHI by well over 200 points. n7 Despite this potential effect, there are no indications that the Department of Justice examined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merger at Love Field. In fact, it appears that the Department of Justice failed to consider the impact on Love Field whatsoever, or, alternatively, failed to adequately explain why it chose to ignore those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City recognizes that HHI is typically calculated using revenue data, but such information is proprietary and unavailable to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facts and the Department's own guidelines demonstrate the need to carefully scrutinize the merger's potential effects at Love Field. Yet, the materials published by the Department of Justice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filed with the United States District Court for the District of Columbia make no reference to operations at Love Field. </w:t>
      </w:r>
      <w:r>
        <w:rPr>
          <w:rFonts w:ascii="arial" w:eastAsia="arial" w:hAnsi="arial" w:cs="arial"/>
          <w:b/>
          <w:i w:val="0"/>
          <w:strike w:val="0"/>
          <w:noProof w:val="0"/>
          <w:color w:val="000000"/>
          <w:position w:val="0"/>
          <w:sz w:val="20"/>
          <w:u w:val="none"/>
          <w:vertAlign w:val="baseline"/>
        </w:rPr>
        <w:t> [*36349]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decree requires Signature and Landmark to divest their assets from six airports where both currently operate, but there is not even an acknowledgement that both firms operate FBOs at Love Field. n8 While the City does not necessarily advocate for a divestiture of Signature or Landmark's assets at Love Field, the lack of discussion or findings on the issue is troubling, especially when such an absence is inconsistent with the Department's own guidance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City also notes that there is no discussion of San Antonio International Airport or Teterboro Airport, the two other U.S. airports where both Signature and Landmark presently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consent decree not only imposes no constraints on Signature-Landmark operations at Love Field, but would effectively allow Signature-Landmark to acquire another FBO at Love Field. The proposal allows such an acquisition at "an airport where [the merged entity] is already providing FBO Services in the United States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(1) the assumption or acquisition is valued at less than $ 20 million dollars, or (2) at least two Full-Service FBOs not involved in the transaction provide FBO Services at the airport where the assumption or acquisition will take place." n9 This provision will be insufficient to protect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at Love Field n10 because BBA could acquire the remaining FBOs without Department of Justice scrutiny or permission. The new Signature-Landmark entity could acquire the next-largest FBO at Love Field because of the exception allowing such acquisition when there are two other FBOs at the airport, and could then acquire the other entities if they are valued below $ 20 million. n11 By failing to address this potential issue now, the Department of Justice leaves open the possibility that BBA could later acquire an exclusive right at Love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81 FR at 7155</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City is also concerned that even greater concentration of FBO business at Love Field may result in violations of the Federal Aviation Administration Grant Assurances, which specifically prohibit the granting of "exclusive rights" to aeronautical service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FAA Order 5.190.6B, [paragraph] 8.1. The City has an affirmative obligation to ensure that an exclusive right is not created at Love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City presently has no information about the value of any of the other FBOs at Love Field, but all are small entities that operate only at Love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urges the Department of Justice to include more specific protections for Love Field and other airports that are not proposed for divestiture, but where the market power of the merged entity could pose a serious threat of further market concentration. Specifically, the City suggests including provisions that would serve to prevent the future purchase of FBOs at any airport where Signature and Landmark both operated prior to the merger, regardless of the value of the transaction or presence of additional FBOs. As explained above, the current provision in the proposed consent decree is too narrow to adequately protect Love Field. A broader provision would better protect Love Field and other airports from potential anticompetitive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time and consideration in this matter. If you have any questions about any of the comments in this letter, please do not hesitate to contact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 Kirsch by Nicholas M. Clabbers,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 behalf of:</w:t>
      </w:r>
      <w:r>
        <w:rPr>
          <w:rFonts w:ascii="arial" w:eastAsia="arial" w:hAnsi="arial" w:cs="arial"/>
          <w:b w:val="0"/>
          <w:i w:val="0"/>
          <w:strike w:val="0"/>
          <w:noProof w:val="0"/>
          <w:color w:val="000000"/>
          <w:position w:val="0"/>
          <w:sz w:val="20"/>
          <w:u w:val="none"/>
          <w:vertAlign w:val="baseline"/>
        </w:rPr>
        <w:t xml:space="preserve"> City of Dallas, Department of Aviation, 8008 Herb Kelleher Way, LB16, Dallas, Texas 75235.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20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Attachment A</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FBO fuel sales at Dallas Love Field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totals)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FBO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 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Jet A</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(gals)</w:t>
            </w:r>
          </w:p>
        </w:tc>
        <w:tc>
          <w:tcPr>
            <w:tcW w:w="13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 Flight Support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4,126,136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4,136,128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 Dalfort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3,935,851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3,944,186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Landmark Aviation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2,881,685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2,919,065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Signature + Landmark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55,707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10,943,672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10,999,379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FBOs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9,238,107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9,339,707</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Market Share Post-Merger(1M)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52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FBO Facility Leaseholds at Dallas Love Field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 2015)</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FBO</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Hangars</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Terminal and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(sqft)</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offices</w:t>
            </w: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(sqft)</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 Flight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220,500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318,188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252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 Dalfort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400,703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414,915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Landmark Aviation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106,890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186,738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Signature +</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728,093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191,748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919,841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Landmark</w:t>
            </w:r>
          </w:p>
        </w:tc>
        <w:tc>
          <w:tcPr>
            <w:tcW w:w="252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FBOs fn2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432,108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 + L Percentages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Post-Merger</w:t>
            </w:r>
          </w:p>
        </w:tc>
        <w:tc>
          <w:tcPr>
            <w:tcW w:w="2520" w:type="dxa"/>
            <w:tcBorders>
              <w:right w:val="nil"/>
            </w:tcBorders>
          </w:tcPr>
          <w:p/>
        </w:tc>
        <w:tc>
          <w:tcPr>
            <w:tcW w:w="252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calculations of approximate market share are based solely on the fuel quantities sold, as the City does not have access to proprietary revenue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fn2 The data available for the other FBOs does not delineate between hangar and office space. </w:t>
      </w:r>
      <w:r>
        <w:rPr>
          <w:rFonts w:ascii="arial" w:eastAsia="arial" w:hAnsi="arial" w:cs="arial"/>
          <w:b/>
          <w:i w:val="0"/>
          <w:strike w:val="0"/>
          <w:noProof w:val="0"/>
          <w:color w:val="000000"/>
          <w:position w:val="0"/>
          <w:sz w:val="20"/>
          <w:u w:val="none"/>
          <w:vertAlign w:val="baseline"/>
        </w:rPr>
        <w:t> [*36350]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2016-13185 Filed 6-3-16;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36346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T1-NRF4-426N-00000-00&amp;context=" TargetMode="External" /><Relationship Id="rId11" Type="http://schemas.openxmlformats.org/officeDocument/2006/relationships/hyperlink" Target="https://advance.lexis.com/api/document?collection=cases&amp;id=urn:contentItem:3RTP-83N0-001T-D0C7-00000-00&amp;context=" TargetMode="External" /><Relationship Id="rId12" Type="http://schemas.openxmlformats.org/officeDocument/2006/relationships/hyperlink" Target="https://advance.lexis.com/api/document?collection=cases&amp;id=urn:contentItem:4NCK-65B0-TVT3-D3DR-00000-00&amp;context=" TargetMode="External" /><Relationship Id="rId13" Type="http://schemas.openxmlformats.org/officeDocument/2006/relationships/hyperlink" Target="https://advance.lexis.com/api/document?collection=cases&amp;id=urn:contentItem:4X85-40M0-TXFP-H385-00000-00&amp;context=" TargetMode="External" /><Relationship Id="rId14" Type="http://schemas.openxmlformats.org/officeDocument/2006/relationships/hyperlink" Target="https://advance.lexis.com/api/document?collection=cases&amp;id=urn:contentItem:3S4W-Y8S0-001B-K1MJ-00000-00&amp;context=" TargetMode="External" /><Relationship Id="rId15" Type="http://schemas.openxmlformats.org/officeDocument/2006/relationships/hyperlink" Target="https://advance.lexis.com/api/document?collection=cases&amp;id=urn:contentItem:3S4X-16H0-0039-W1PJ-00000-00&amp;context=" TargetMode="External" /><Relationship Id="rId16" Type="http://schemas.openxmlformats.org/officeDocument/2006/relationships/hyperlink" Target="https://advance.lexis.com/api/document?collection=cases&amp;id=urn:contentItem:5C2F-7GX1-F04C-Y0FY-00000-00&amp;context=" TargetMode="External" /><Relationship Id="rId17" Type="http://schemas.openxmlformats.org/officeDocument/2006/relationships/hyperlink" Target="https://advance.lexis.com/api/document?collection=cases&amp;id=urn:contentItem:3S4N-8G40-0054-71HT-00000-00&amp;context=" TargetMode="External" /><Relationship Id="rId18" Type="http://schemas.openxmlformats.org/officeDocument/2006/relationships/hyperlink" Target="https://advance.lexis.com/api/document?collection=cases&amp;id=urn:contentItem:494T-VD60-0038-Y0P1-00000-00&amp;context=" TargetMode="External" /><Relationship Id="rId19" Type="http://schemas.openxmlformats.org/officeDocument/2006/relationships/hyperlink" Target="https://advance.lexis.com/api/document?collection=cases&amp;id=urn:contentItem:56B6-VBN1-F04F-0433-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6HF-7M51-F04F-00W0-00000-00&amp;context=" TargetMode="External" /><Relationship Id="rId21" Type="http://schemas.openxmlformats.org/officeDocument/2006/relationships/hyperlink" Target="https://advance.lexis.com/api/document?collection=cases&amp;id=urn:contentItem:40T2-X8J0-0038-Y2SJ-00000-00&amp;context=" TargetMode="External" /><Relationship Id="rId22" Type="http://schemas.openxmlformats.org/officeDocument/2006/relationships/hyperlink" Target="mailto:patricia.sindel@usdoj.gov" TargetMode="Externa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Y6-J7F0-006W-845F-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www.justice.gov/at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49359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71339643</vt:lpwstr>
  </property>
  <property fmtid="{D5CDD505-2E9C-101B-9397-08002B2CF9AE}" pid="3" name="LADocCount">
    <vt:lpwstr>1</vt:lpwstr>
  </property>
  <property fmtid="{D5CDD505-2E9C-101B-9397-08002B2CF9AE}" pid="4" name="UserPermID">
    <vt:lpwstr>urn:user:PA185916758</vt:lpwstr>
  </property>
</Properties>
</file>