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36895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110, Wednesday, June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36895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Comprehensive Centers Program--National Comprehensive Center on Improving Literacy for Students With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Centers Program--National Comprehensive Center on Improving Literacy for Students with Disabilities Notice inviting applications for a new award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84.283D.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Section 2244 of the Elementary and Secondary Education Act of 1965 (ESEA), as amended by the Every Student Succeeds Act (ESSA), requires the Secretary to establish a comprehensive center on students at risk of not attaining full literacy skills due to a disability. Comprehensive Centers are typically administered by the Office of Elementary and Secondary Education (OESE). OESE is funding this Center; however, because of the Center's subject matter, it will be administered jointly by </w:t>
      </w:r>
      <w:r>
        <w:rPr>
          <w:rFonts w:ascii="arial" w:eastAsia="arial" w:hAnsi="arial" w:cs="arial"/>
          <w:b/>
          <w:i w:val="0"/>
          <w:strike w:val="0"/>
          <w:noProof w:val="0"/>
          <w:color w:val="000000"/>
          <w:position w:val="0"/>
          <w:sz w:val="20"/>
          <w:u w:val="none"/>
          <w:vertAlign w:val="baseline"/>
        </w:rPr>
        <w:t> [*36896] </w:t>
      </w:r>
      <w:r>
        <w:rPr>
          <w:rFonts w:ascii="arial" w:eastAsia="arial" w:hAnsi="arial" w:cs="arial"/>
          <w:b w:val="0"/>
          <w:i w:val="0"/>
          <w:strike w:val="0"/>
          <w:noProof w:val="0"/>
          <w:color w:val="000000"/>
          <w:position w:val="0"/>
          <w:sz w:val="20"/>
          <w:u w:val="none"/>
          <w:vertAlign w:val="baseline"/>
        </w:rPr>
        <w:t xml:space="preserve"> OESE and the Office of Special Education and Rehabilitative Services (OSERS).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We are establishing this priority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Comprehensive Center on Improving Literacy for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this priority is to fund a cooperative agreement to establish a National Comprehensive Center on Improving Literacy for Students with Disabilities (the Center) for children in early childhood education programs through high school. The comprehensive center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or develop free or low-cost evidence-based assessment tools for identifying students at risk of not attaining full literacy skills due to a disability, including dyslexia impacting reading or writing, or developmental delay impacting reading, writing, language processing, comprehension, or executive functioning;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 evidence-based literacy instruction, strategies, and accommodations, including assistive technology, designed to meet the specific needs of such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families of such students with information to assist such students, and as part of this activity, the Center should plan to collaborate with the parent training and information and community parent resource centers funded by the Department of Education (the Department), Office of Special Education Programs (OSEP)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 for Parent Information and Resources, and Parent Technical Assistance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Identify or develop evidence-based professional development for teachers, paraprofessionals, principals, other school leaders, and specialized instructional support personnel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Understand early indicators of students at risk of not attaining full literacy skills due to a disability, including dyslexia impacting reading or writing, or developmental delay impacting reading, writing, language processing, comprehension, or executive functioning;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evidence-based screening assessments for early identification of such students beginning not later than kindergarten;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 evidence-based instruction designed to meet the specific needs of such students;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Disseminate the products of the comprehensive center to regionally diverse State educational agencies (SEAs), local educational agencies (LEAs), regional educational agencies, and schools, including, as appropriate, through partnerships with other comprehensive centers established under section 203 of the Educational Technical Assistance Act of 2002 (</w:t>
      </w:r>
      <w:hyperlink r:id="rId10" w:history="1">
        <w:r>
          <w:rPr>
            <w:rFonts w:ascii="arial" w:eastAsia="arial" w:hAnsi="arial" w:cs="arial"/>
            <w:b w:val="0"/>
            <w:i/>
            <w:strike w:val="0"/>
            <w:noProof w:val="0"/>
            <w:color w:val="0077CC"/>
            <w:position w:val="0"/>
            <w:sz w:val="20"/>
            <w:u w:val="single"/>
            <w:vertAlign w:val="baseline"/>
          </w:rPr>
          <w:t>20 U.S.C. 9602</w:t>
        </w:r>
      </w:hyperlink>
      <w:r>
        <w:rPr>
          <w:rFonts w:ascii="arial" w:eastAsia="arial" w:hAnsi="arial" w:cs="arial"/>
          <w:b w:val="0"/>
          <w:i w:val="0"/>
          <w:strike w:val="0"/>
          <w:noProof w:val="0"/>
          <w:color w:val="000000"/>
          <w:position w:val="0"/>
          <w:sz w:val="20"/>
          <w:u w:val="none"/>
          <w:vertAlign w:val="baseline"/>
        </w:rPr>
        <w:t>), regional educational laboratories established under section 174 of the Education Sciences Reform Act of 2002 (</w:t>
      </w:r>
      <w:hyperlink r:id="rId11" w:history="1">
        <w:r>
          <w:rPr>
            <w:rFonts w:ascii="arial" w:eastAsia="arial" w:hAnsi="arial" w:cs="arial"/>
            <w:b w:val="0"/>
            <w:i/>
            <w:strike w:val="0"/>
            <w:noProof w:val="0"/>
            <w:color w:val="0077CC"/>
            <w:position w:val="0"/>
            <w:sz w:val="20"/>
            <w:u w:val="single"/>
            <w:vertAlign w:val="baseline"/>
          </w:rPr>
          <w:t>20 U.S.C. 9564</w:t>
        </w:r>
      </w:hyperlink>
      <w:r>
        <w:rPr>
          <w:rFonts w:ascii="arial" w:eastAsia="arial" w:hAnsi="arial" w:cs="arial"/>
          <w:b w:val="0"/>
          <w:i w:val="0"/>
          <w:strike w:val="0"/>
          <w:noProof w:val="0"/>
          <w:color w:val="000000"/>
          <w:position w:val="0"/>
          <w:sz w:val="20"/>
          <w:u w:val="none"/>
          <w:vertAlign w:val="baseline"/>
        </w:rPr>
        <w:t>), and OSEP- and other related federally-funded technical assistance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requirements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Any application that does not include the required documents or information will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address current and emerging training and information needs of SEAs, LEAs, technical assistance (TA) centers, schools, and practitioners to select and implement evidence-based practices that will improve literacy outcomes for students with disabilities or students who show indicators of disabilities that may prevent them from attaining full literacy skills.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Demonstrate knowledge of current and emerging evidence-based practices in reading and literacy-related instruction, screening, assessment, and identification of students with disabilities or students who show indicators of disabilities that may prevent them from attaining full literacy skills, including knowledge of culturally responsive evidence-based practices to respond to the needs of diverse learners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Demonstrate knowledge of and previous experience with using creative approaches to disseminate evidence-based practices to a variety of entities, including parents, SEAs, LEAs, schools, Head Start, and other early childhood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 knowledge of and previous experience with implementing TA strategies and delivering evidence-based professional development (PD) to a variety of entities, including SEAs, LEAs, schools, Head Start, and other early childhood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Demonstrate how using these TA and PD strategies has resulted in SEAs, LEAs, schools, teachers, paraprofessionals, principals, other school leaders, and specialized instructional support personnel adopting, implementing, and sustaining evidence-based practices in reading and literacy-related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Design," how the Center will accomplish project goals and activities.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Describe a five-year plan for the Center to identify current and emerging training and information needs and to address the priority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a conceptual framework for developing project plans and activities, describing any underlying concepts, assumptions, expectations, beliefs, or theories, as well as the presumed relationships or linkages among these variables, and any empirical support for this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Incorporate current research and evidence-based practices and strategies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TA that is of high quality and sufficient intensity and duration to achieve the intended outcomes of the proposed project. The applicant must describe how it will use TA of varying levels of intensity, based on the needs of SEAs and other entities, to assess and build the capacity of SEAs, LEAs, TA centers, schools, Head Start and other early childhood programs, and practitioners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Assess students' literacy-related skills, including the capacity to: Identify students with disabilities or students who show indicators of disabilities that may prevent them from attaining full literacy skills, administer assessments including screening tools, evaluate the evidence base for an assessment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reliability, validity, sensitivity, specificity), understand the purpose of the assessment and the skills being assessed, and interpret assessment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Fully implement evidence-based literacy-related programs. This involves helping practitioners understand the literacy program's purpose or goal, intended population, content, and necessary implementation supports, including PD needed to implement it with fidelity;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Use evidence-based PD programs to improve practitioners' knowledge of reading and literacy-related instruction, ultimately leading to better literacy-related skills of students with disabilities or students who show indicators of disabilities that may prevent them from attaining full literacy skills; </w:t>
      </w:r>
      <w:r>
        <w:rPr>
          <w:rFonts w:ascii="arial" w:eastAsia="arial" w:hAnsi="arial" w:cs="arial"/>
          <w:b/>
          <w:i w:val="0"/>
          <w:strike w:val="0"/>
          <w:noProof w:val="0"/>
          <w:color w:val="000000"/>
          <w:position w:val="0"/>
          <w:sz w:val="20"/>
          <w:u w:val="none"/>
          <w:vertAlign w:val="baseline"/>
        </w:rPr>
        <w:t> [*36897]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Partner with other federally funded comprehensive centers, regional educational laboratories, equity assistance centers, TA centers, parent training and information and community parent resource centers, and other related organizations to refine or develop products, create training modules, and hold meetings to both encourage collaborative activities among SEAs, LEAs, schools, Head Start and other early childhood programs, practitioners, and parents, and maximize efficiency. These partnerships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Using technology, including assistive technology, to achieve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Collaborating with national experts, institutions of higher education, and TA providers to avoid duplicating efforts;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Collaboratively identifying measures or guidelines for detecting if, due to a disability, students are at risk of not attaining full literacy skills, not learning to read, or not reaching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The evaluation plan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Describe performance goals, objectives, and outcomes for the project that are clearly specified and measurable in terms of the project activities to be accomplished and their stated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accordance with paragraph (f)(1) of these Application Requirements, describe the logic model by which the proposed project will achieve its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how both progress in implementation and project outcomes will be measured, including the extent to which the project's products and services will reach its target population, how intended outcomes or results are achieved, a timeline for conducting the evaluation, and data analytic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Specify the measures and associated instruments or sources for data appropriate to the evaluation questions, suggest analytic strategies for those data, provide a timeline for conducting the evaluation, and include staff assignments for completing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Describe how evaluations of performance will be used to inform and improve service delivery over the course of the grant and to refine the proposed logic model and evaluation plan, including data collection;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Dedicate sufficient funds in each budget year to cover the costs of carrying out the tasks described in paragraphs (c)(1) and (2) of these Application Requirements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key project personnel, consultants, and subcontractors have the qualifications and subject-matter and technical expertise to carry out the proposed activities, achieve the project's intended outcomes, and develop ongoing partnerships with leading experts and organizations nationwide to inform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and any key partners have adequate resources to carry out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costs are reasonable in relation to the anticipated results and benefits;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families, general and special education teachers, related services providers, TA providers, researchers, institutions of higher education,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OSEP uses this definition of logic model to differentiate between logic models and conceptual frameworks.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2-day trips twice per year to attend Department briefings, Department-sponsored conferences, and other meetings, as requested by the Department;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apply to the National Comprehensive Center on Improving Literacy for Students with Disabilities priority in this notice. The definition of "evidence-based" comes from section 8002 of the ESEA, as amended by the ESSA. The definitions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an activity, strategy, or intervention that (i) demonstrates a statistically significant effect on improving student outcomes or other relevant outcomes based on--(I) strong evidence from at least one well-designed and well-implemented experimental study; (II) moderate evidence from at least one well-designed and well-implemented quasi-experimental study; or (III) promising evidence from at least one well-designed and well-implemented correlational study with statistical controls for selection bias; or (ii)(I) demonstrates a rationale based on high-quality research findings or positive evaluation that such activity, strategy, or intervention is likely to improve student outcomes or other relevant outcomes; and (II) includes ongoing efforts to examine the effects of such activity, strategy, or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Practitioners</w:t>
      </w:r>
      <w:r>
        <w:rPr>
          <w:rFonts w:ascii="arial" w:eastAsia="arial" w:hAnsi="arial" w:cs="arial"/>
          <w:b w:val="0"/>
          <w:i w:val="0"/>
          <w:strike w:val="0"/>
          <w:noProof w:val="0"/>
          <w:color w:val="000000"/>
          <w:position w:val="0"/>
          <w:sz w:val="20"/>
          <w:u w:val="none"/>
          <w:vertAlign w:val="baseline"/>
        </w:rPr>
        <w:t xml:space="preserve"> (for the purposes of this priority) includes teachers, paraprofessionals, principals, other school leaders, and specialized instructional support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 services</w:t>
      </w:r>
      <w:r>
        <w:rPr>
          <w:rFonts w:ascii="arial" w:eastAsia="arial" w:hAnsi="arial" w:cs="arial"/>
          <w:b w:val="0"/>
          <w:i w:val="0"/>
          <w:strike w:val="0"/>
          <w:noProof w:val="0"/>
          <w:color w:val="000000"/>
          <w:position w:val="0"/>
          <w:sz w:val="20"/>
          <w:u w:val="none"/>
          <w:vertAlign w:val="baseline"/>
        </w:rPr>
        <w:t xml:space="preserve"> are defined as a negotiated series of activities designed </w:t>
      </w:r>
      <w:r>
        <w:rPr>
          <w:rFonts w:ascii="arial" w:eastAsia="arial" w:hAnsi="arial" w:cs="arial"/>
          <w:b/>
          <w:i w:val="0"/>
          <w:strike w:val="0"/>
          <w:noProof w:val="0"/>
          <w:color w:val="000000"/>
          <w:position w:val="0"/>
          <w:sz w:val="20"/>
          <w:u w:val="none"/>
          <w:vertAlign w:val="baseline"/>
        </w:rPr>
        <w:t> [*36898] </w:t>
      </w:r>
      <w:r>
        <w:rPr>
          <w:rFonts w:ascii="arial" w:eastAsia="arial" w:hAnsi="arial" w:cs="arial"/>
          <w:b w:val="0"/>
          <w:i w:val="0"/>
          <w:strike w:val="0"/>
          <w:noProof w:val="0"/>
          <w:color w:val="000000"/>
          <w:position w:val="0"/>
          <w:sz w:val="20"/>
          <w:u w:val="none"/>
          <w:vertAlign w:val="baseline"/>
        </w:rPr>
        <w:t xml:space="preserve">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Comprehensive Centers program under section 2244 of the Elementary and Secondary Education Act of 1965, as amended, </w:t>
      </w:r>
      <w:hyperlink r:id="rId14" w:history="1">
        <w:r>
          <w:rPr>
            <w:rFonts w:ascii="arial" w:eastAsia="arial" w:hAnsi="arial" w:cs="arial"/>
            <w:b w:val="0"/>
            <w:i/>
            <w:strike w:val="0"/>
            <w:noProof w:val="0"/>
            <w:color w:val="0077CC"/>
            <w:position w:val="0"/>
            <w:sz w:val="20"/>
            <w:u w:val="single"/>
            <w:vertAlign w:val="baseline"/>
          </w:rPr>
          <w:t>20 U.S.C. 6674</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forego public comment on the priority and requirements under section 437(d)(1) of GEPA. The priority and requirements will apply to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6674</w:t>
        </w:r>
      </w:hyperlink>
      <w:r>
        <w:rPr>
          <w:rFonts w:ascii="arial" w:eastAsia="arial" w:hAnsi="arial" w:cs="arial"/>
          <w:b w:val="0"/>
          <w:i w:val="0"/>
          <w:strike w:val="0"/>
          <w:noProof w:val="0"/>
          <w:color w:val="000000"/>
          <w:position w:val="0"/>
          <w:sz w:val="20"/>
          <w:u w:val="none"/>
          <w:vertAlign w:val="baseline"/>
        </w:rPr>
        <w:t>; Consolidated Appropriations Act,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$ 1,475,000.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$ 1,475,000 for a single budget period of 12 months in year one and $ 1,500,000 for a single budget period in years 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Research organizations, institutions, agencies, institutions of higher education, or partnerships among such entities, or individuals, with the demonstrated ability or capacity to carry out the activities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5"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operate as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84.283D.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w:t>
      </w:r>
      <w:r>
        <w:rPr>
          <w:rFonts w:ascii="arial" w:eastAsia="arial" w:hAnsi="arial" w:cs="arial"/>
          <w:b/>
          <w:i w:val="0"/>
          <w:strike w:val="0"/>
          <w:noProof w:val="0"/>
          <w:color w:val="000000"/>
          <w:position w:val="0"/>
          <w:sz w:val="20"/>
          <w:u w:val="none"/>
          <w:vertAlign w:val="baseline"/>
        </w:rPr>
        <w:t> [*36899] </w:t>
      </w:r>
      <w:r>
        <w:rPr>
          <w:rFonts w:ascii="arial" w:eastAsia="arial" w:hAnsi="arial" w:cs="arial"/>
          <w:b w:val="0"/>
          <w:i w:val="0"/>
          <w:strike w:val="0"/>
          <w:noProof w:val="0"/>
          <w:color w:val="000000"/>
          <w:position w:val="0"/>
          <w:sz w:val="20"/>
          <w:u w:val="none"/>
          <w:vertAlign w:val="baseline"/>
        </w:rPr>
        <w:t xml:space="preserve">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1"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Comprehensive Center on Improving Literacy for Students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84.283D,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Comprehensive Center on Improving Literacy for Students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84.283, not 84.283D).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r>
        <w:rPr>
          <w:rFonts w:ascii="arial" w:eastAsia="arial" w:hAnsi="arial" w:cs="arial"/>
          <w:b/>
          <w:i w:val="0"/>
          <w:strike w:val="0"/>
          <w:noProof w:val="0"/>
          <w:color w:val="000000"/>
          <w:position w:val="0"/>
          <w:sz w:val="20"/>
          <w:u w:val="none"/>
          <w:vertAlign w:val="baseline"/>
        </w:rPr>
        <w:t> [*36900]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Kristen Rhoads, U.S. Department of Education, 400 Maryland Avenue SW., Room 5142, Potomac Center Plaza, Washington, DC 20202-5076. FAX: (202) 245-7619.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84.283D),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legible mail receipt with the date of mailing stamped by the U.S. Postal Service. </w:t>
      </w:r>
      <w:r>
        <w:rPr>
          <w:rFonts w:ascii="arial" w:eastAsia="arial" w:hAnsi="arial" w:cs="arial"/>
          <w:b/>
          <w:i w:val="0"/>
          <w:strike w:val="0"/>
          <w:noProof w:val="0"/>
          <w:color w:val="000000"/>
          <w:position w:val="0"/>
          <w:sz w:val="20"/>
          <w:u w:val="none"/>
          <w:vertAlign w:val="baseline"/>
        </w:rPr>
        <w:t> [*36901]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84.283D),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6"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9"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the Comprehensive Center program, the Department will use three performance measures to assess the quality, relevance, and usefulness of center activities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measures, adapted from a set of common measures developed to help assess performance across the Department's TA programs, are: (1) The percentage of all Comprehensive Centers' products and services that are deemed to be of high quality by qualified experts or individuals with appropriate expertise to review the substantive content of the products and services; (2) the percentage of all Comprehensive Centers' products and services that are deemed to be of high relevance to </w:t>
      </w:r>
      <w:r>
        <w:rPr>
          <w:rFonts w:ascii="arial" w:eastAsia="arial" w:hAnsi="arial" w:cs="arial"/>
          <w:b/>
          <w:i w:val="0"/>
          <w:strike w:val="0"/>
          <w:noProof w:val="0"/>
          <w:color w:val="000000"/>
          <w:position w:val="0"/>
          <w:sz w:val="20"/>
          <w:u w:val="none"/>
          <w:vertAlign w:val="baseline"/>
        </w:rPr>
        <w:t> [*36902] </w:t>
      </w:r>
      <w:r>
        <w:rPr>
          <w:rFonts w:ascii="arial" w:eastAsia="arial" w:hAnsi="arial" w:cs="arial"/>
          <w:b w:val="0"/>
          <w:i w:val="0"/>
          <w:strike w:val="0"/>
          <w:noProof w:val="0"/>
          <w:color w:val="000000"/>
          <w:position w:val="0"/>
          <w:sz w:val="20"/>
          <w:u w:val="none"/>
          <w:vertAlign w:val="baseline"/>
        </w:rPr>
        <w:t xml:space="preserve"> educational policy or practice by target audiences; and (3) the percentage of all Comprehensive Centers' products and services that are deemed to be of high usefulness to educational policy or practice by target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will be expected to submit, as part of their performance reports, quantitative data documenting their progress with regard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Kristen Rhoads, U.S. Department of Education, 400 Maryland Avenue SW., Room 5142, Potomac Center Plaza, Washington, DC 20202-5076. Telephone: (202) 245-6715.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Wendell Bell, U.S. Department of Education, 400 Maryland Avenue SW., Room 5113, Potomac Center Plaza, Washington, DC 20202-5108. Telephone: (202) 245-7268.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2016-13587 Filed 6-7-16;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36895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21-NRF4-413T-00000-00&amp;context=" TargetMode="External" /><Relationship Id="rId11" Type="http://schemas.openxmlformats.org/officeDocument/2006/relationships/hyperlink" Target="https://advance.lexis.com/api/document?collection=statutes-legislation&amp;id=urn:contentItem:4YF7-GJF1-NRF4-404P-00000-00&amp;context=" TargetMode="External" /><Relationship Id="rId12" Type="http://schemas.openxmlformats.org/officeDocument/2006/relationships/hyperlink" Target="http://www.osepideasthatwork.org/logicModel" TargetMode="External" /><Relationship Id="rId13" Type="http://schemas.openxmlformats.org/officeDocument/2006/relationships/hyperlink" Target="http://www.osepideasthatwork.org/resources-grantees/program-areas/ta-ta/tad-project-logic-model-and-conceptual-framework" TargetMode="External" /><Relationship Id="rId14" Type="http://schemas.openxmlformats.org/officeDocument/2006/relationships/hyperlink" Target="https://advance.lexis.com/api/document?collection=statutes-legislation&amp;id=urn:contentItem:4YF7-GR91-NRF4-41M9-00000-00&amp;context=" TargetMode="External" /><Relationship Id="rId15" Type="http://schemas.openxmlformats.org/officeDocument/2006/relationships/hyperlink" Target="https://advance.lexis.com/api/document?collection=administrative-codes&amp;id=urn:contentItem:5GMB-DPC0-008H-02SJ-00000-00&amp;context=" TargetMode="External" /><Relationship Id="rId16" Type="http://schemas.openxmlformats.org/officeDocument/2006/relationships/hyperlink" Target="http://www.ed.gov/fund/grant/apply/grantapps/index.html" TargetMode="External" /><Relationship Id="rId17" Type="http://schemas.openxmlformats.org/officeDocument/2006/relationships/hyperlink" Target="http://www.EDPubs.gov" TargetMode="External" /><Relationship Id="rId18" Type="http://schemas.openxmlformats.org/officeDocument/2006/relationships/hyperlink" Target="mailto:edpubs@inet.ed.gov"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2.ed.gov/fund/grant/apply/sam-faqs.html"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rants.gov"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s://advance.lexis.com/api/document?collection=administrative-codes&amp;id=urn:contentItem:5S7T-7HS0-008H-02VY-00000-00&amp;context=" TargetMode="External" /><Relationship Id="rId27" Type="http://schemas.openxmlformats.org/officeDocument/2006/relationships/hyperlink" Target="https://advance.lexis.com/api/document?collection=administrative-codes&amp;id=urn:contentItem:5GMB-DPB0-008H-02GP-00000-00&amp;context="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F2R-48P0-008G-Y31V-00000-00&amp;context=" TargetMode="External" /><Relationship Id="rId36" Type="http://schemas.openxmlformats.org/officeDocument/2006/relationships/hyperlink" Target="https://advance.lexis.com/api/document?collection=administrative-codes&amp;id=urn:contentItem:5GMB-DPC0-008H-02S7-00000-00&amp;context=" TargetMode="External" /><Relationship Id="rId37" Type="http://schemas.openxmlformats.org/officeDocument/2006/relationships/hyperlink" Target="https://advance.lexis.com/api/document?collection=administrative-codes&amp;id=urn:contentItem:5GMB-DPC0-008H-02SK-00000-00&amp;context="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https://advance.lexis.com/api/document?collection=administrative-codes&amp;id=urn:contentItem:5GMB-DPB0-008H-027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K8-00000-00&amp;context=" TargetMode="External" /><Relationship Id="rId41" Type="http://schemas.openxmlformats.org/officeDocument/2006/relationships/hyperlink" Target="http://www.gpo.gov/fdsys" TargetMode="External" /><Relationship Id="rId42" Type="http://schemas.openxmlformats.org/officeDocument/2006/relationships/hyperlink" Target="http://www.federalregister.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N-4H50-006W-84FM-00000-00&amp;context=" TargetMode="External" /><Relationship Id="rId8" Type="http://schemas.openxmlformats.org/officeDocument/2006/relationships/hyperlink" Target="https://advance.lexis.com/api/document?collection=statutes-legislation&amp;id=urn:contentItem:4YF7-GKB1-NRF4-445T-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