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38153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113, Monday, June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38153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Undergraduate International Studies and Foreign Language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Undergraduate International Studies and Foreign Language (UISFL)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84.016A.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UISFL Program provides grants for planning, developing, and carrying out programs to strengthen and improve undergraduate instruction in international studies and foreign languages in the United States.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two invitational priorities.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is from the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11, 2014 </w:t>
      </w:r>
      <w:hyperlink r:id="rId8" w:history="1">
        <w:r>
          <w:rPr>
            <w:rFonts w:ascii="arial" w:eastAsia="arial" w:hAnsi="arial" w:cs="arial"/>
            <w:b w:val="0"/>
            <w:i/>
            <w:strike w:val="0"/>
            <w:noProof w:val="0"/>
            <w:color w:val="0077CC"/>
            <w:position w:val="0"/>
            <w:sz w:val="20"/>
            <w:u w:val="single"/>
            <w:vertAlign w:val="baseline"/>
          </w:rPr>
          <w:t>(79 FR 33432).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is from </w:t>
      </w:r>
      <w:hyperlink r:id="rId9" w:history="1">
        <w:r>
          <w:rPr>
            <w:rFonts w:ascii="arial" w:eastAsia="arial" w:hAnsi="arial" w:cs="arial"/>
            <w:b w:val="0"/>
            <w:i/>
            <w:strike w:val="0"/>
            <w:noProof w:val="0"/>
            <w:color w:val="0077CC"/>
            <w:position w:val="0"/>
            <w:sz w:val="20"/>
            <w:u w:val="single"/>
            <w:vertAlign w:val="baseline"/>
          </w:rPr>
          <w:t>34 CFR 658.35(a)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an additional two or three points depending on whether and how an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we award up to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w:t>
      </w:r>
      <w:r>
        <w:rPr>
          <w:rFonts w:ascii="arial" w:eastAsia="arial" w:hAnsi="arial" w:cs="arial"/>
          <w:b w:val="0"/>
          <w:i w:val="0"/>
          <w:strike w:val="0"/>
          <w:noProof w:val="0"/>
          <w:color w:val="000000"/>
          <w:position w:val="0"/>
          <w:sz w:val="20"/>
          <w:u w:val="none"/>
          <w:vertAlign w:val="baseline"/>
        </w:rPr>
        <w:t xml:space="preserve"> (2 or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from Minority-Serving Institutions (MSIs) (as defined in this notice) or community colleges (as defined in this notice), whether as individual applicants or as part of a consortium of institutions of higher education (IHEs) (consortium) or a partnership between nonprofit educational organizations and IHEs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application from a consortium or partnership that has an MSI or community college as the lead applicant will receive more points under this priority than applications in which the MSI or community college is a member of a consortium or partnership but not the lead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consortium or partnership must undertake activities designed to incorporate foreign languages into the curriculum of the MSI or community college and to improve foreign language and international or area studies instruction on the MSI or community college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priority: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college</w:t>
      </w:r>
      <w:r>
        <w:rPr>
          <w:rFonts w:ascii="arial" w:eastAsia="arial" w:hAnsi="arial" w:cs="arial"/>
          <w:b w:val="0"/>
          <w:i w:val="0"/>
          <w:strike w:val="0"/>
          <w:noProof w:val="0"/>
          <w:color w:val="000000"/>
          <w:position w:val="0"/>
          <w:sz w:val="20"/>
          <w:u w:val="none"/>
          <w:vertAlign w:val="baseline"/>
        </w:rPr>
        <w:t xml:space="preserve"> means an institution that meets the definition in section 312(f) of the Higher Education Act of 1965, as amended (HEA) (</w:t>
      </w:r>
      <w:hyperlink r:id="rId11" w:history="1">
        <w:r>
          <w:rPr>
            <w:rFonts w:ascii="arial" w:eastAsia="arial" w:hAnsi="arial" w:cs="arial"/>
            <w:b w:val="0"/>
            <w:i/>
            <w:strike w:val="0"/>
            <w:noProof w:val="0"/>
            <w:color w:val="0077CC"/>
            <w:position w:val="0"/>
            <w:sz w:val="20"/>
            <w:u w:val="single"/>
            <w:vertAlign w:val="baseline"/>
          </w:rPr>
          <w:t>20 U.S.C. 1058(f)</w:t>
        </w:r>
      </w:hyperlink>
      <w:r>
        <w:rPr>
          <w:rFonts w:ascii="arial" w:eastAsia="arial" w:hAnsi="arial" w:cs="arial"/>
          <w:b w:val="0"/>
          <w:i w:val="0"/>
          <w:strike w:val="0"/>
          <w:noProof w:val="0"/>
          <w:color w:val="000000"/>
          <w:position w:val="0"/>
          <w:sz w:val="20"/>
          <w:u w:val="none"/>
          <w:vertAlign w:val="baseline"/>
        </w:rPr>
        <w:t>); or an institution of higher education (as defined in section 101 of the HEA) that awards degrees and certificates, more than 50 percent of which are not bachelor's degrees (or an equivalent) or master's, professional, or other advanced degrees.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will award either two or three points to an application that meets this priority. If an MSI or community college is a single applicant, or the lead applicant in a consortium or partnership, the application will receive three additional points. If an MSI or community college is a member of a consortium or partnership, but not the lead applicant, the application will receive two additional points. No application will receive more than three additional points for this priority.</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You may view lists of title III- and title V-eligible institutions at the following link: </w:t>
      </w:r>
      <w:hyperlink r:id="rId12" w:history="1">
        <w:r>
          <w:rPr>
            <w:rFonts w:ascii="arial" w:eastAsia="arial" w:hAnsi="arial" w:cs="arial"/>
            <w:b w:val="0"/>
            <w:i/>
            <w:strike w:val="0"/>
            <w:noProof w:val="0"/>
            <w:color w:val="0077CC"/>
            <w:position w:val="0"/>
            <w:sz w:val="20"/>
            <w:u w:val="single"/>
            <w:vertAlign w:val="baseline"/>
          </w:rPr>
          <w:t>https://www2.ed.gov/about/offices/list/ope/idues/t3t5-eligibles-2015.pdf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eligibility status is still current for institutions listed at the link above. You may also view the list of Historically Black Colleges and Universities at </w:t>
      </w:r>
      <w:hyperlink r:id="rId13" w:history="1">
        <w:r>
          <w:rPr>
            <w:rFonts w:ascii="arial" w:eastAsia="arial" w:hAnsi="arial" w:cs="arial"/>
            <w:b w:val="0"/>
            <w:i/>
            <w:strike w:val="0"/>
            <w:noProof w:val="0"/>
            <w:color w:val="0077CC"/>
            <w:position w:val="0"/>
            <w:sz w:val="20"/>
            <w:u w:val="single"/>
            <w:vertAlign w:val="baseline"/>
          </w:rPr>
          <w:t>34 CFR 608.2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w:t>
      </w:r>
      <w:r>
        <w:rPr>
          <w:rFonts w:ascii="arial" w:eastAsia="arial" w:hAnsi="arial" w:cs="arial"/>
          <w:b w:val="0"/>
          <w:i w:val="0"/>
          <w:strike w:val="0"/>
          <w:noProof w:val="0"/>
          <w:color w:val="000000"/>
          <w:position w:val="0"/>
          <w:sz w:val="20"/>
          <w:u w:val="none"/>
          <w:vertAlign w:val="baseline"/>
        </w:rPr>
        <w:t xml:space="preserve">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from an institution of higher education (IHE), a consortium of institutions of higher education (consortium), or a partnership between nonprofit educational organizations and IHEs (partnership) that require entering students to have successfully completed at least two years of secondary school foreign language instruction or that require each graduating student to earn two years of postsecondary credit in a </w:t>
      </w:r>
      <w:r>
        <w:rPr>
          <w:rFonts w:ascii="arial" w:eastAsia="arial" w:hAnsi="arial" w:cs="arial"/>
          <w:b/>
          <w:i w:val="0"/>
          <w:strike w:val="0"/>
          <w:noProof w:val="0"/>
          <w:color w:val="000000"/>
          <w:position w:val="0"/>
          <w:sz w:val="20"/>
          <w:u w:val="none"/>
          <w:vertAlign w:val="baseline"/>
        </w:rPr>
        <w:t> [*38154] </w:t>
      </w:r>
      <w:r>
        <w:rPr>
          <w:rFonts w:ascii="arial" w:eastAsia="arial" w:hAnsi="arial" w:cs="arial"/>
          <w:b w:val="0"/>
          <w:i w:val="0"/>
          <w:strike w:val="0"/>
          <w:noProof w:val="0"/>
          <w:color w:val="000000"/>
          <w:position w:val="0"/>
          <w:sz w:val="20"/>
          <w:u w:val="none"/>
          <w:vertAlign w:val="baseline"/>
        </w:rPr>
        <w:t xml:space="preserve"> foreign language (or have demonstrated equivalent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foreign language) or, in the case of a two-year degree granting institution, offer two years of postsecondary credit in a foreign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Priorities:</w:t>
      </w:r>
      <w:r>
        <w:rPr>
          <w:rFonts w:ascii="arial" w:eastAsia="arial" w:hAnsi="arial" w:cs="arial"/>
          <w:b w:val="0"/>
          <w:i w:val="0"/>
          <w:strike w:val="0"/>
          <w:noProof w:val="0"/>
          <w:color w:val="000000"/>
          <w:position w:val="0"/>
          <w:sz w:val="20"/>
          <w:u w:val="none"/>
          <w:vertAlign w:val="baseline"/>
        </w:rPr>
        <w:t xml:space="preserve"> For FY 2016, these priorities are invitational priorities. Under </w:t>
      </w:r>
      <w:hyperlink r:id="rId10"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xml:space="preserve">, we do not give an application that meets these invitational priorities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1--Priority Languages Selected from the U.S. Department of Education's List of Less Commonly Taught Languages (LCTLs).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programs or activities focused on language instruction or the development of area or international studies programs to include language instruction in any of the 78 priority languages selected from the U.S. Department of Education's list of LCTLs: Akan (Twi-Fante), Albanian, Amharic, Arabic (all dialects), Armenian, Azeri (Azerbaijani), Balochi, Bamanakan (Bamana, Bambara, Mandikan, Mandingo, Maninka, Dyula), Belarusian, Bengali (Bangla), Berber (all languages), Bosnian, Bulgarian, Burmese, Cebuano (Visayan), Chechen, Chinese (Cantonese), Chinese (Gan), Chinese (Mandarin), Chinese (Min), Chinese (Wu), Croatian, Dari, Dinka, Georgian, Gujarati, Hausa, Hebrew (Modern), Hindi, Igbo, Indonesian, Japanese, Javanese, Kannada, Kashmiri, Kazakh, Khmer (Cambodian), Kirghiz, Korean, Kurdish (Kurmanji), Kurdish (Sorani), Lao, Malay (Bahasa Melayu or Malaysian), Malayalam, Marathi, Mongolian, Nepali, Oromo, Panjabi, Pashto, Persian (Farsi), Polish, Portuguese (all varieties), Quechua, Romanian, Russian, Serbian, Sinhala (Sinhalese), Somali, Swahili, Tagalog, Tajik, Tamil, Telugu, Thai, Tibetan, Tigrigna, Turkish, Turkmen, Ukrainian, Urdu, Uyghur/Uigur, Uzbek, Vietnamese, Wolof, Xhosa, Yoruba, and Zulu.</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of National Need:</w:t>
      </w:r>
      <w:r>
        <w:rPr>
          <w:rFonts w:ascii="arial" w:eastAsia="arial" w:hAnsi="arial" w:cs="arial"/>
          <w:b w:val="0"/>
          <w:i w:val="0"/>
          <w:strike w:val="0"/>
          <w:noProof w:val="0"/>
          <w:color w:val="000000"/>
          <w:position w:val="0"/>
          <w:sz w:val="20"/>
          <w:u w:val="none"/>
          <w:vertAlign w:val="baseline"/>
        </w:rPr>
        <w:t xml:space="preserve"> In accordance with section 601(c) of the HEA (</w:t>
      </w:r>
      <w:hyperlink r:id="rId14" w:history="1">
        <w:r>
          <w:rPr>
            <w:rFonts w:ascii="arial" w:eastAsia="arial" w:hAnsi="arial" w:cs="arial"/>
            <w:b w:val="0"/>
            <w:i/>
            <w:strike w:val="0"/>
            <w:noProof w:val="0"/>
            <w:color w:val="0077CC"/>
            <w:position w:val="0"/>
            <w:sz w:val="20"/>
            <w:u w:val="single"/>
            <w:vertAlign w:val="baseline"/>
          </w:rPr>
          <w:t>20 U.S.C. 1121(c)</w:t>
        </w:r>
      </w:hyperlink>
      <w:r>
        <w:rPr>
          <w:rFonts w:ascii="arial" w:eastAsia="arial" w:hAnsi="arial" w:cs="arial"/>
          <w:b w:val="0"/>
          <w:i w:val="0"/>
          <w:strike w:val="0"/>
          <w:noProof w:val="0"/>
          <w:color w:val="000000"/>
          <w:position w:val="0"/>
          <w:sz w:val="20"/>
          <w:u w:val="none"/>
          <w:vertAlign w:val="baseline"/>
        </w:rPr>
        <w:t xml:space="preserve">), the Secretary has consulted with and received recommendations regarding national need for expertise in foreign languages and world regions from the head officials of a wide range of Federal agencies. The Secretary has taken these recommendations into account, and a list of foreign languages and world regions identified by the Secretary as areas of national need may be found on the following Web site: </w:t>
      </w:r>
      <w:r>
        <w:rPr>
          <w:rFonts w:ascii="arial" w:eastAsia="arial" w:hAnsi="arial" w:cs="arial"/>
          <w:b w:val="0"/>
          <w:i/>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http://www2.ed.gov/about/offices/list/ope/iegps/consultation-2016.pdf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 2--Developing Interdisciplinary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create innovative curricula that combine the teaching of international studies with one of the following academic fields of study: business, economics, public health, international and comparative education, science, technology, engineering, or mathematics. Programs can be located within the applicant's home IHE or within the IHE(s) that form(s) part of the consortium/partnership applying for the grant (including those that are eligible to receive assistance under part A or B of title III or under title V).</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 U.S.C. 1124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34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34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655 and 658. (e) The notice of final priority,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11, 2014 </w:t>
      </w:r>
      <w:hyperlink r:id="rId8" w:history="1">
        <w:r>
          <w:rPr>
            <w:rFonts w:ascii="arial" w:eastAsia="arial" w:hAnsi="arial" w:cs="arial"/>
            <w:b w:val="0"/>
            <w:i/>
            <w:strike w:val="0"/>
            <w:noProof w:val="0"/>
            <w:color w:val="0077CC"/>
            <w:position w:val="0"/>
            <w:sz w:val="20"/>
            <w:u w:val="single"/>
            <w:vertAlign w:val="baseline"/>
          </w:rPr>
          <w:t>(79 FR 33432).</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$ 2,257,434.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single applicant grants: $ 70,000-$ 95,000 each 12-month budget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consortia or partnership grants: $ 90,000-$ 150,000 each 12-month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single applicant grants: $ 86,824.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consortia or partnership grants: $ 120,000.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from a single applicant that proposes a budget exceeding $ 95,000 for a single budget period of 12 months, or from an applicant that is a consortium or partnership that proposes a budget exceeding $ 150,000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single applicant grants: Up to 24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consortia or partnership grants: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(1) IHEs; (2) consortia of IHEs; (3) partnerships between nonprofit educational organizations and IHEs; and (4) public and private nonprofit agencies and organizations, including professional and scholarly associations.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has a matching requirement under section 604(a)(3) of the HEA, </w:t>
      </w:r>
      <w:hyperlink r:id="rId16" w:history="1">
        <w:r>
          <w:rPr>
            <w:rFonts w:ascii="arial" w:eastAsia="arial" w:hAnsi="arial" w:cs="arial"/>
            <w:b w:val="0"/>
            <w:i/>
            <w:strike w:val="0"/>
            <w:noProof w:val="0"/>
            <w:color w:val="0077CC"/>
            <w:position w:val="0"/>
            <w:sz w:val="20"/>
            <w:u w:val="single"/>
            <w:vertAlign w:val="baseline"/>
          </w:rPr>
          <w:t>20 U.S.C. 1124(a)(3)</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w:t>
      </w:r>
      <w:hyperlink r:id="rId17" w:history="1">
        <w:r>
          <w:rPr>
            <w:rFonts w:ascii="arial" w:eastAsia="arial" w:hAnsi="arial" w:cs="arial"/>
            <w:b w:val="0"/>
            <w:i/>
            <w:strike w:val="0"/>
            <w:noProof w:val="0"/>
            <w:color w:val="0077CC"/>
            <w:position w:val="0"/>
            <w:sz w:val="20"/>
            <w:u w:val="single"/>
            <w:vertAlign w:val="baseline"/>
          </w:rPr>
          <w:t>34 CFR 658.41</w:t>
        </w:r>
      </w:hyperlink>
      <w:r>
        <w:rPr>
          <w:rFonts w:ascii="arial" w:eastAsia="arial" w:hAnsi="arial" w:cs="arial"/>
          <w:b w:val="0"/>
          <w:i w:val="0"/>
          <w:strike w:val="0"/>
          <w:noProof w:val="0"/>
          <w:color w:val="000000"/>
          <w:position w:val="0"/>
          <w:sz w:val="20"/>
          <w:u w:val="none"/>
          <w:vertAlign w:val="baseline"/>
        </w:rPr>
        <w:t>. UISFL Program grantees must provide matching funds in either of the following ways: (i) Cash contributions from private sector corporations or foundations equal to one-third of the total project costs; or (ii) a combination of institutional and non-institutional cash or in-kind contributions including State and private sector corporation or foundation contributions, equal to one-half of the total project costs. The Secretary may waive or reduce the required matching share for institutions that are eligible to receive assistance under part A or part B of title III or under title V of the HEA that have submitted an application that demonstrates a need for a waiver or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See paragraph 4(D) in section V of this notice for further information regarding this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8"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9"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0"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program as follows: CFDA number 84.016A. </w:t>
      </w:r>
      <w:r>
        <w:rPr>
          <w:rFonts w:ascii="arial" w:eastAsia="arial" w:hAnsi="arial" w:cs="arial"/>
          <w:b/>
          <w:i w:val="0"/>
          <w:strike w:val="0"/>
          <w:noProof w:val="0"/>
          <w:color w:val="000000"/>
          <w:position w:val="0"/>
          <w:sz w:val="20"/>
          <w:u w:val="none"/>
          <w:vertAlign w:val="baseline"/>
        </w:rPr>
        <w:t> [*38155]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For </w:t>
      </w:r>
      <w:r>
        <w:rPr>
          <w:rFonts w:ascii="arial" w:eastAsia="arial" w:hAnsi="arial" w:cs="arial"/>
          <w:b/>
          <w:i w:val="0"/>
          <w:strike w:val="0"/>
          <w:noProof w:val="0"/>
          <w:color w:val="000000"/>
          <w:position w:val="0"/>
          <w:sz w:val="20"/>
          <w:u w:val="none"/>
          <w:vertAlign w:val="baseline"/>
        </w:rPr>
        <w:t>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is where you, the applicant, address the selection criteria that reviewers use to evaluate your application. You must limit the application narrative to no more than 40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quotations, references, and captions. Charts, tables, figures, and graphs in the application narrative may be single spaced and will count toward the page limit.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 However, you may use a 10-point font in charts, tables, figures, and graphs.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40-page limit does not apply to Part I, the Application for Federal Assistance face sheet (SF 424); the supplemental information form required by the Department of Education; Part II, Budget Information--Non-Construction Programs (ED 524); Part IV, assurances, certifications, and the response to section 427 of the General Education Provisions Act (GEPA); the table of contents; the one-page project abstract; the appendices; or the line item budget. However, the page limit does apply to all of the application narrative section. If you include any attachments or appendices not specifically requested, these items will be counted as part of the application narrative for the purpose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13,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w:t>
      </w:r>
      <w:hyperlink r:id="rId21" w:history="1">
        <w:r>
          <w:rPr>
            <w:rFonts w:ascii="arial" w:eastAsia="arial" w:hAnsi="arial" w:cs="arial"/>
            <w:b w:val="0"/>
            <w:i/>
            <w:strike w:val="0"/>
            <w:noProof w:val="0"/>
            <w:color w:val="0077CC"/>
            <w:position w:val="0"/>
            <w:sz w:val="20"/>
            <w:u w:val="single"/>
            <w:vertAlign w:val="baseline"/>
          </w:rPr>
          <w:t>34 CFR 664.33</w:t>
        </w:r>
      </w:hyperlink>
      <w:r>
        <w:rPr>
          <w:rFonts w:ascii="arial" w:eastAsia="arial" w:hAnsi="arial" w:cs="arial"/>
          <w:b w:val="0"/>
          <w:i w:val="0"/>
          <w:strike w:val="0"/>
          <w:noProof w:val="0"/>
          <w:color w:val="000000"/>
          <w:position w:val="0"/>
          <w:sz w:val="20"/>
          <w:u w:val="none"/>
          <w:vertAlign w:val="baseline"/>
        </w:rPr>
        <w:t xml:space="preserv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4"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UISFL Program, CFDA number 84.016A,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w:t>
      </w:r>
      <w:r>
        <w:rPr>
          <w:rFonts w:ascii="arial" w:eastAsia="arial" w:hAnsi="arial" w:cs="arial"/>
          <w:b/>
          <w:i w:val="0"/>
          <w:strike w:val="0"/>
          <w:noProof w:val="0"/>
          <w:color w:val="000000"/>
          <w:position w:val="0"/>
          <w:sz w:val="20"/>
          <w:u w:val="none"/>
          <w:vertAlign w:val="baseline"/>
        </w:rPr>
        <w:t> [*38156] </w:t>
      </w:r>
      <w:r>
        <w:rPr>
          <w:rFonts w:ascii="arial" w:eastAsia="arial" w:hAnsi="arial" w:cs="arial"/>
          <w:b w:val="0"/>
          <w:i w:val="0"/>
          <w:strike w:val="0"/>
          <w:noProof w:val="0"/>
          <w:color w:val="000000"/>
          <w:position w:val="0"/>
          <w:sz w:val="20"/>
          <w:u w:val="none"/>
          <w:vertAlign w:val="baseline"/>
        </w:rPr>
        <w:t xml:space="preserve">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UISFL Program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84.016, not 84.016A).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a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w:t>
      </w:r>
      <w:r>
        <w:rPr>
          <w:rFonts w:ascii="arial" w:eastAsia="arial" w:hAnsi="arial" w:cs="arial"/>
          <w:b/>
          <w:i w:val="0"/>
          <w:strike w:val="0"/>
          <w:noProof w:val="0"/>
          <w:color w:val="000000"/>
          <w:position w:val="0"/>
          <w:sz w:val="20"/>
          <w:u w:val="none"/>
          <w:vertAlign w:val="baseline"/>
        </w:rPr>
        <w:t> [*38157] </w:t>
      </w:r>
      <w:r>
        <w:rPr>
          <w:rFonts w:ascii="arial" w:eastAsia="arial" w:hAnsi="arial" w:cs="arial"/>
          <w:b w:val="0"/>
          <w:i w:val="0"/>
          <w:strike w:val="0"/>
          <w:noProof w:val="0"/>
          <w:color w:val="000000"/>
          <w:position w:val="0"/>
          <w:sz w:val="20"/>
          <w:u w:val="none"/>
          <w:vertAlign w:val="baseline"/>
        </w:rPr>
        <w:t xml:space="preserve">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Tanyelle Richardson, U.S. Department of Education, 400 Maryland Ave. SW., Room 3E211, Washington, DC 20202-4260. FAX: (202) 453-5780.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84.016A),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three copies of your application, by hand, on or before the application deadline date, to the Department at the following address: U.S. Department of Education, Application Control Center, Attention: (CFDA Number 84.016A),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envelope--and, 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Selection Criteria: The selection criteria for this program are from </w:t>
      </w:r>
      <w:hyperlink r:id="rId29" w:history="1">
        <w:r>
          <w:rPr>
            <w:rFonts w:ascii="arial" w:eastAsia="arial" w:hAnsi="arial" w:cs="arial"/>
            <w:b w:val="0"/>
            <w:i/>
            <w:strike w:val="0"/>
            <w:noProof w:val="0"/>
            <w:color w:val="0077CC"/>
            <w:position w:val="0"/>
            <w:sz w:val="20"/>
            <w:u w:val="single"/>
            <w:vertAlign w:val="baseline"/>
          </w:rPr>
          <w:t>34 CFR 658.31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658.32</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658.33</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655.32</w:t>
        </w:r>
      </w:hyperlink>
      <w:r>
        <w:rPr>
          <w:rFonts w:ascii="arial" w:eastAsia="arial" w:hAnsi="arial" w:cs="arial"/>
          <w:b w:val="0"/>
          <w:i w:val="0"/>
          <w:strike w:val="0"/>
          <w:noProof w:val="0"/>
          <w:color w:val="000000"/>
          <w:position w:val="0"/>
          <w:sz w:val="20"/>
          <w:u w:val="none"/>
          <w:vertAlign w:val="baseline"/>
        </w:rPr>
        <w:t xml:space="preserve"> and are listed in this section. The maximum score for all of the criteria, including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105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 Applications.</w:t>
      </w:r>
      <w:r>
        <w:rPr>
          <w:rFonts w:ascii="arial" w:eastAsia="arial" w:hAnsi="arial" w:cs="arial"/>
          <w:b w:val="0"/>
          <w:i w:val="0"/>
          <w:strike w:val="0"/>
          <w:noProof w:val="0"/>
          <w:color w:val="000000"/>
          <w:position w:val="0"/>
          <w:sz w:val="20"/>
          <w:u w:val="none"/>
          <w:vertAlign w:val="baseline"/>
        </w:rPr>
        <w:t xml:space="preserve"> All applications will be evaluated based on the following criteria: (a) Plan of operation (15 points); (b) Quality of key personnel (10 points); (c) Budget and cost effectiveness (10 points); and (d) Adequacy of resources (5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from IHEs, Consortia, or Partnerships.</w:t>
      </w:r>
      <w:r>
        <w:rPr>
          <w:rFonts w:ascii="arial" w:eastAsia="arial" w:hAnsi="arial" w:cs="arial"/>
          <w:b w:val="0"/>
          <w:i w:val="0"/>
          <w:strike w:val="0"/>
          <w:noProof w:val="0"/>
          <w:color w:val="000000"/>
          <w:position w:val="0"/>
          <w:sz w:val="20"/>
          <w:u w:val="none"/>
          <w:vertAlign w:val="baseline"/>
        </w:rPr>
        <w:t xml:space="preserve"> All applications submitted by an IHE or a consortia or partnership will also be evaluated based on the following criteria: (e) Commitment to international studies (15 points); (f) Elements of the proposed international studies program (10 points); and (g) Need for and prospective results of the proposed program (15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from Public and Private Nonprofit Agencies and Organizations, Including Professional and Scholarly Associations.</w:t>
      </w:r>
      <w:r>
        <w:rPr>
          <w:rFonts w:ascii="arial" w:eastAsia="arial" w:hAnsi="arial" w:cs="arial"/>
          <w:b w:val="0"/>
          <w:i w:val="0"/>
          <w:strike w:val="0"/>
          <w:noProof w:val="0"/>
          <w:color w:val="000000"/>
          <w:position w:val="0"/>
          <w:sz w:val="20"/>
          <w:u w:val="none"/>
          <w:vertAlign w:val="baseline"/>
        </w:rPr>
        <w:t xml:space="preserve"> All applications from public and private nonprofit agencies and organizations, including professional and scholarly associations, will also be evaluated based on the following criterion: Need for and potential impact of the proposed project in improving international studies and the study of modern foreign language at the undergraduate level (40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evaluation plan will be scored separately as described in the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regarding these criteria is in the application package for this program. The total number of points available under these selection criteria, combined with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as follows: </w:t>
      </w:r>
      <w:r>
        <w:rPr>
          <w:rFonts w:ascii="arial" w:eastAsia="arial" w:hAnsi="arial" w:cs="arial"/>
          <w:b/>
          <w:i w:val="0"/>
          <w:strike w:val="0"/>
          <w:noProof w:val="0"/>
          <w:color w:val="000000"/>
          <w:position w:val="0"/>
          <w:sz w:val="20"/>
          <w:u w:val="none"/>
          <w:vertAlign w:val="baseline"/>
        </w:rPr>
        <w:t> [*38158]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Selection criteria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UISFL IHEs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UISFL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UISFL public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Consortia and</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private nonprofit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partnerships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agencies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organizations,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including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professional and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scholarly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associations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Plan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Quality of Key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Budget &amp; Cost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Effectiveness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Adequacy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Commitment to</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Elements 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Need for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Prospective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Program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Need for &amp;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Impact</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Proposed</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 in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Studies &amp;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of Modern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Foreign Languages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Undergraduate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#1</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Preference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Priority #2</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(Optional)</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Evaluation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Possible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Points</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UISFL grant applications, the Department will use a two-tier review process to review and score eligible applications. Under the first--tier review, content reviewers will review and score eligible applications on the following selection criteria: (a) Plan of operation; (b) Quality of key personnel; (c) Budget and cost effectiveness; (d) Adequacy of resources; (e) Commitment to international studies; (f) Elements of the proposed international studies program; (g) Need for and prospective results of the proposed program as applicable; as well as (h) Need for and potential impact of the proposed project in improving international studies and the study of modern foreign languages at the undergraduate level, if the applicant is from a public or private nonprofit agency or organization. These reviewers will also review and score the applications that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the second-tier review, the top 60 ranked applications from the first tier will have the remaining criterion, Evaluation plan, reviewed and scored by a different panel of peer reviewers with evaluation expertise. Evaluation peer reviewers will be responsible for assessing the feasibility of evaluation plans and the proposed performance measure form (PMF). The PMF includes the Project Goals, Performance Measures, and Activities that all applicants must submit to demonstrate how their projects' performance will be assessed. Both tier scores will then be combined and the combined score will be used to rank the top-scoring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9"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40"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In addition to any other requirements outlined in the application package for this program, section 604(a)(7) of the HEA, </w:t>
      </w:r>
      <w:hyperlink r:id="rId16" w:history="1">
        <w:r>
          <w:rPr>
            <w:rFonts w:ascii="arial" w:eastAsia="arial" w:hAnsi="arial" w:cs="arial"/>
            <w:b w:val="0"/>
            <w:i/>
            <w:strike w:val="0"/>
            <w:noProof w:val="0"/>
            <w:color w:val="0077CC"/>
            <w:position w:val="0"/>
            <w:sz w:val="20"/>
            <w:u w:val="single"/>
            <w:vertAlign w:val="baseline"/>
          </w:rPr>
          <w:t>20 U.S.C. 1124(a)(7)</w:t>
        </w:r>
      </w:hyperlink>
      <w:r>
        <w:rPr>
          <w:rFonts w:ascii="arial" w:eastAsia="arial" w:hAnsi="arial" w:cs="arial"/>
          <w:b w:val="0"/>
          <w:i w:val="0"/>
          <w:strike w:val="0"/>
          <w:noProof w:val="0"/>
          <w:color w:val="000000"/>
          <w:position w:val="0"/>
          <w:sz w:val="20"/>
          <w:u w:val="none"/>
          <w:vertAlign w:val="baseline"/>
        </w:rPr>
        <w:t>, requires that each application from an IHE, consortia, or partnership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Evidence that the applicant has conducted extensive planning prior to submitting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assurance that the faculty and administrators of all relevant departments and programs served by the applicant are involved in ongoing collaboration with regard to achieving the stated objectives of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assurance that students at the applicant institutions, as appropriate, will have equal access to, and derive benefits from, the UISFL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assurance that each applicant, consortium, or partnership will use the Federal assistance provided under the UISFL Program to supplement and not supplant non-Federal funds the institution expends for programs to improve undergraduate instruction in international studies and foreign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how the applicant will provide information to students regarding federally funded scholarship programs in related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An explanation of how the activities funded by the grant will reflect diverse perspectives and a wide range of views, and generate debate on world regions and international affairs, where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description of how the applicant will encourage service in areas of national need, as identified by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w:t>
      </w:r>
      <w:r>
        <w:rPr>
          <w:rFonts w:ascii="arial" w:eastAsia="arial" w:hAnsi="arial" w:cs="arial"/>
          <w:b/>
          <w:i w:val="0"/>
          <w:strike w:val="0"/>
          <w:noProof w:val="0"/>
          <w:color w:val="000000"/>
          <w:position w:val="0"/>
          <w:sz w:val="20"/>
          <w:u w:val="none"/>
          <w:vertAlign w:val="baseline"/>
        </w:rPr>
        <w:t> [*38159] </w:t>
      </w:r>
      <w:r>
        <w:rPr>
          <w:rFonts w:ascii="arial" w:eastAsia="arial" w:hAnsi="arial" w:cs="arial"/>
          <w:b w:val="0"/>
          <w:i w:val="0"/>
          <w:strike w:val="0"/>
          <w:noProof w:val="0"/>
          <w:color w:val="000000"/>
          <w:position w:val="0"/>
          <w:sz w:val="20"/>
          <w:u w:val="none"/>
          <w:vertAlign w:val="baseline"/>
        </w:rPr>
        <w:t xml:space="preserve">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1"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specified by the Secretary. If you receive a multiyear award, you must submit an annual performance report that provides the most current performance and financial expenditure information as directed by the Secretary under </w:t>
      </w:r>
      <w:hyperlink r:id="rId42"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Grantees are required to use the online data and reporting system, the International Resource Information System (IRIS), to complete their interim and final reports. The Secretary may also require more frequent performance reports under </w:t>
      </w:r>
      <w:hyperlink r:id="rId43"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4"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45"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as updated by the GPRA Modernization Act of 2010 on January 4, 2011, the Department will use the following performance measures to evaluate the success of the UISFL Program: percentage of UISFL projects that added or enhanced courses in international studies in critical world areas and priority foreign languages; and percentage of UISFL consortium projects that established certificate and/or undergraduate degree programs in international or foreign language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funded, you will be required to collect and report data in IRIS on those measures and steps taken toward improving performance on those outcomes. Consequently, applicants are advised to include these outcomes in conceptualizing the design, implementation, and evaluation of their proposed projects. Their measurement should be a part of the proposed project evaluation plan, along with measures of progress and on the goals and objectives specific to your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by grantees in their performance reports submitted via IRIS will be the source of data for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6"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toward meeting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4"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Tanyelle Richardson, U.S. Department of Education, 400 Maryland Ave, SW., room 3E211, Washington, DC 20202-4260. Telephone: (202) 453-6391 or by email: </w:t>
      </w:r>
      <w:hyperlink r:id="rId47" w:history="1">
        <w:r>
          <w:rPr>
            <w:rFonts w:ascii="arial" w:eastAsia="arial" w:hAnsi="arial" w:cs="arial"/>
            <w:b w:val="0"/>
            <w:i/>
            <w:strike w:val="0"/>
            <w:noProof w:val="0"/>
            <w:color w:val="0077CC"/>
            <w:position w:val="0"/>
            <w:sz w:val="20"/>
            <w:u w:val="single"/>
            <w:vertAlign w:val="baseline"/>
          </w:rPr>
          <w:t>tanyelle.richardson@ed.gov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computer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function at </w:t>
      </w:r>
      <w:hyperlink r:id="rId4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B.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2016-13933 Filed 6-10-16;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38153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statutes-legislation&amp;id=urn:contentItem:4YF7-GV01-NRF4-41XD-00000-00&amp;context=" TargetMode="External" /><Relationship Id="rId12" Type="http://schemas.openxmlformats.org/officeDocument/2006/relationships/hyperlink" Target="https://www2.ed.gov/about/offices/list/ope/idues/t3t5-eligibles-2015.pdf" TargetMode="External" /><Relationship Id="rId13" Type="http://schemas.openxmlformats.org/officeDocument/2006/relationships/hyperlink" Target="https://advance.lexis.com/api/document?collection=administrative-codes&amp;id=urn:contentItem:5RWB-NGY0-008H-03RF-00000-00&amp;context=" TargetMode="External" /><Relationship Id="rId14" Type="http://schemas.openxmlformats.org/officeDocument/2006/relationships/hyperlink" Target="https://advance.lexis.com/api/document?collection=statutes-legislation&amp;id=urn:contentItem:4YF7-GKG1-NRF4-402K-00000-00&amp;context=" TargetMode="External" /><Relationship Id="rId15" Type="http://schemas.openxmlformats.org/officeDocument/2006/relationships/hyperlink" Target="http://www2.ed.gov/about/offices/list/ope/iegps/consultation-2016.pdf" TargetMode="External" /><Relationship Id="rId16" Type="http://schemas.openxmlformats.org/officeDocument/2006/relationships/hyperlink" Target="https://advance.lexis.com/api/document?collection=statutes-legislation&amp;id=urn:contentItem:4YF7-GSV1-NRF4-411N-00000-00&amp;context=" TargetMode="External" /><Relationship Id="rId17" Type="http://schemas.openxmlformats.org/officeDocument/2006/relationships/hyperlink" Target="https://advance.lexis.com/api/document?collection=administrative-codes&amp;id=urn:contentItem:5RWB-NH50-008H-006T-00000-00&amp;context=" TargetMode="External" /><Relationship Id="rId18" Type="http://schemas.openxmlformats.org/officeDocument/2006/relationships/hyperlink" Target="http://www.ed.gov/fund/grant/apply/grantapps/index.html" TargetMode="External" /><Relationship Id="rId19" Type="http://schemas.openxmlformats.org/officeDocument/2006/relationships/hyperlink" Target="http://www.EDPubs.gov" TargetMode="External" /><Relationship Id="rId2" Type="http://schemas.openxmlformats.org/officeDocument/2006/relationships/webSettings" Target="webSettings.xml" /><Relationship Id="rId20" Type="http://schemas.openxmlformats.org/officeDocument/2006/relationships/hyperlink" Target="mailto:edpubs@inet.ed.gov" TargetMode="External" /><Relationship Id="rId21" Type="http://schemas.openxmlformats.org/officeDocument/2006/relationships/hyperlink" Target="https://advance.lexis.com/api/document?collection=administrative-codes&amp;id=urn:contentItem:5RWB-NH00-008H-0493-00000-00&amp;context=" TargetMode="External" /><Relationship Id="rId22" Type="http://schemas.openxmlformats.org/officeDocument/2006/relationships/hyperlink" Target="http://fedgov.dnb.com/webform" TargetMode="External" /><Relationship Id="rId23" Type="http://schemas.openxmlformats.org/officeDocument/2006/relationships/hyperlink" Target="http://www.SAM.gov" TargetMode="External" /><Relationship Id="rId24" Type="http://schemas.openxmlformats.org/officeDocument/2006/relationships/hyperlink" Target="http://www2.ed.gov/fund/grant/apply/sam-faqs.html"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www.grants.gov/web/grants/applicants/apply-for-grants.html" TargetMode="External" /><Relationship Id="rId29" Type="http://schemas.openxmlformats.org/officeDocument/2006/relationships/hyperlink" Target="https://advance.lexis.com/api/document?collection=administrative-codes&amp;id=urn:contentItem:5RWB-NH20-008H-04WC-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RWB-NH50-008H-006P-00000-00&amp;context=" TargetMode="External" /><Relationship Id="rId31" Type="http://schemas.openxmlformats.org/officeDocument/2006/relationships/hyperlink" Target="https://advance.lexis.com/api/document?collection=administrative-codes&amp;id=urn:contentItem:5RWB-NH20-008H-04WD-00000-00&amp;context=" TargetMode="External" /><Relationship Id="rId32" Type="http://schemas.openxmlformats.org/officeDocument/2006/relationships/hyperlink" Target="https://advance.lexis.com/api/document?collection=administrative-codes&amp;id=urn:contentItem:5RWB-NH00-008H-03VG-00000-00&amp;context=" TargetMode="External" /><Relationship Id="rId33" Type="http://schemas.openxmlformats.org/officeDocument/2006/relationships/hyperlink" Target="https://advance.lexis.com/api/document?collection=administrative-codes&amp;id=urn:contentItem:5GMB-DPB0-008H-02GP-00000-00&amp;context=" TargetMode="External" /><Relationship Id="rId34" Type="http://schemas.openxmlformats.org/officeDocument/2006/relationships/hyperlink" Target="https://advance.lexis.com/api/document?collection=administrative-codes&amp;id=urn:contentItem:5KS0-F5W0-008H-023P-00000-00&amp;context=" TargetMode="External" /><Relationship Id="rId35" Type="http://schemas.openxmlformats.org/officeDocument/2006/relationships/hyperlink" Target="https://advance.lexis.com/api/document?collection=administrative-codes&amp;id=urn:contentItem:5R5H-J1H0-008H-043K-00000-00&amp;context=" TargetMode="External" /><Relationship Id="rId36" Type="http://schemas.openxmlformats.org/officeDocument/2006/relationships/hyperlink" Target="https://advance.lexis.com/api/document?collection=administrative-codes&amp;id=urn:contentItem:5KS0-F5W0-008H-024V-00000-00&amp;context=" TargetMode="External" /><Relationship Id="rId37" Type="http://schemas.openxmlformats.org/officeDocument/2006/relationships/hyperlink" Target="https://advance.lexis.com/api/document?collection=administrative-codes&amp;id=urn:contentItem:5KS0-F600-008H-02PT-00000-00&amp;context=" TargetMode="External" /><Relationship Id="rId38" Type="http://schemas.openxmlformats.org/officeDocument/2006/relationships/hyperlink" Target="https://advance.lexis.com/api/document?collection=administrative-codes&amp;id=urn:contentItem:5KS0-F5W0-008H-025B-00000-00&amp;context=" TargetMode="External" /><Relationship Id="rId39" Type="http://schemas.openxmlformats.org/officeDocument/2006/relationships/hyperlink" Target="https://advance.lexis.com/api/document?collection=administrative-codes&amp;id=urn:contentItem:5HDM-DHF0-008G-Y2N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F34-Y1R0-008G-Y1F9-00000-00&amp;context=" TargetMode="External" /><Relationship Id="rId41" Type="http://schemas.openxmlformats.org/officeDocument/2006/relationships/hyperlink" Target="https://advance.lexis.com/api/document?collection=administrative-codes&amp;id=urn:contentItem:5F2R-48P0-008G-Y31V-00000-00&amp;context=" TargetMode="External" /><Relationship Id="rId42" Type="http://schemas.openxmlformats.org/officeDocument/2006/relationships/hyperlink" Target="https://advance.lexis.com/api/document?collection=administrative-codes&amp;id=urn:contentItem:5GMB-DPC0-008H-02S7-00000-00&amp;context=" TargetMode="External" /><Relationship Id="rId43" Type="http://schemas.openxmlformats.org/officeDocument/2006/relationships/hyperlink" Target="https://advance.lexis.com/api/document?collection=administrative-codes&amp;id=urn:contentItem:5GMB-DPC0-008H-02SK-00000-00&amp;context=" TargetMode="External" /><Relationship Id="rId44" Type="http://schemas.openxmlformats.org/officeDocument/2006/relationships/hyperlink" Target="http://www.ed.gov/fund/grant/apply/appforms/appforms.html" TargetMode="External" /><Relationship Id="rId45" Type="http://schemas.openxmlformats.org/officeDocument/2006/relationships/hyperlink" Target="https://advance.lexis.com/api/document?collection=administrative-codes&amp;id=urn:contentItem:5GMB-DPB0-008H-0272-00000-00&amp;context=" TargetMode="External" /><Relationship Id="rId46" Type="http://schemas.openxmlformats.org/officeDocument/2006/relationships/hyperlink" Target="https://advance.lexis.com/api/document?collection=administrative-codes&amp;id=urn:contentItem:5GMB-DPB0-008H-02K8-00000-00&amp;context=" TargetMode="External" /><Relationship Id="rId47" Type="http://schemas.openxmlformats.org/officeDocument/2006/relationships/hyperlink" Target="mailto:tanyelle.richardson@ed.gov" TargetMode="External" /><Relationship Id="rId48" Type="http://schemas.openxmlformats.org/officeDocument/2006/relationships/hyperlink" Target="http://www.gpo.gov/fdsys" TargetMode="External" /><Relationship Id="rId49" Type="http://schemas.openxmlformats.org/officeDocument/2006/relationships/hyperlink" Target="http://www.federalregister.gov" TargetMode="External" /><Relationship Id="rId5" Type="http://schemas.openxmlformats.org/officeDocument/2006/relationships/footer" Target="footer1.xml" /><Relationship Id="rId50" Type="http://schemas.openxmlformats.org/officeDocument/2006/relationships/numbering" Target="numbering.xml" /><Relationship Id="rId51"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0P-S160-006W-84YC-00000-00&amp;context=" TargetMode="External" /><Relationship Id="rId8" Type="http://schemas.openxmlformats.org/officeDocument/2006/relationships/hyperlink" Target="https://advance.lexis.com/api/document?collection=administrative-codes&amp;id=urn:contentItem:5CDD-49X0-006W-83H6-00000-00&amp;context=" TargetMode="External" /><Relationship Id="rId9" Type="http://schemas.openxmlformats.org/officeDocument/2006/relationships/hyperlink" Target="https://advance.lexis.com/api/document?collection=administrative-codes&amp;id=urn:contentItem:5RWB-NH50-008H-006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71492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