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39253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116, Thursday, June 16,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39253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June 16,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Fulbright-Hays Group Projects Abroad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Fulbright-Hays Group Projects Abroad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84.021A.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Fulbright-Hays Group Projects Abroad (GPA) Program is to promote, improve, and develop modern foreign languages and area studies at varying levels of education. The program provides opportunities for faculty, teachers, and undergraduate and graduate students to conduct individual and group projects overseas to carry out research and study in the fields of modern foreign languages and area studies.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support both Fulbright-Hays GPA short-term projects (GPA short-term projects) and Fulbright-Hays GPA long-term projects (GPA long-term projects).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three types of GPA short-term projects: (1) Short-term seminar projects of four to six weeks in length designed to increase the linguistic or cultural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U.S. students and educators by focusing on a particular aspect of area study, such as the culture of an area or country of study (</w:t>
      </w:r>
      <w:hyperlink r:id="rId8" w:history="1">
        <w:r>
          <w:rPr>
            <w:rFonts w:ascii="arial" w:eastAsia="arial" w:hAnsi="arial" w:cs="arial"/>
            <w:b w:val="0"/>
            <w:i/>
            <w:strike w:val="0"/>
            <w:noProof w:val="0"/>
            <w:color w:val="0077CC"/>
            <w:position w:val="0"/>
            <w:sz w:val="20"/>
            <w:u w:val="single"/>
            <w:vertAlign w:val="baseline"/>
          </w:rPr>
          <w:t>34 CFR 664.11</w:t>
        </w:r>
      </w:hyperlink>
      <w:r>
        <w:rPr>
          <w:rFonts w:ascii="arial" w:eastAsia="arial" w:hAnsi="arial" w:cs="arial"/>
          <w:b w:val="0"/>
          <w:i w:val="0"/>
          <w:strike w:val="0"/>
          <w:noProof w:val="0"/>
          <w:color w:val="000000"/>
          <w:position w:val="0"/>
          <w:sz w:val="20"/>
          <w:u w:val="none"/>
          <w:vertAlign w:val="baseline"/>
        </w:rPr>
        <w:t>); (2) curriculum development projects of four to eight weeks in length that provide participants an opportunity to acquire resource materials for curriculum development in modern foreign language and area studies for use and dissemination in the United States (</w:t>
      </w:r>
      <w:hyperlink r:id="rId9" w:history="1">
        <w:r>
          <w:rPr>
            <w:rFonts w:ascii="arial" w:eastAsia="arial" w:hAnsi="arial" w:cs="arial"/>
            <w:b w:val="0"/>
            <w:i/>
            <w:strike w:val="0"/>
            <w:noProof w:val="0"/>
            <w:color w:val="0077CC"/>
            <w:position w:val="0"/>
            <w:sz w:val="20"/>
            <w:u w:val="single"/>
            <w:vertAlign w:val="baseline"/>
          </w:rPr>
          <w:t>34 CFR 664.12</w:t>
        </w:r>
      </w:hyperlink>
      <w:r>
        <w:rPr>
          <w:rFonts w:ascii="arial" w:eastAsia="arial" w:hAnsi="arial" w:cs="arial"/>
          <w:b w:val="0"/>
          <w:i w:val="0"/>
          <w:strike w:val="0"/>
          <w:noProof w:val="0"/>
          <w:color w:val="000000"/>
          <w:position w:val="0"/>
          <w:sz w:val="20"/>
          <w:u w:val="none"/>
          <w:vertAlign w:val="baseline"/>
        </w:rPr>
        <w:t>); and (3) group research or study projects of three to twelve months in duration designed to give participants the opportunity to undertake research or study in a foreign country (</w:t>
      </w:r>
      <w:hyperlink r:id="rId10" w:history="1">
        <w:r>
          <w:rPr>
            <w:rFonts w:ascii="arial" w:eastAsia="arial" w:hAnsi="arial" w:cs="arial"/>
            <w:b w:val="0"/>
            <w:i/>
            <w:strike w:val="0"/>
            <w:noProof w:val="0"/>
            <w:color w:val="0077CC"/>
            <w:position w:val="0"/>
            <w:sz w:val="20"/>
            <w:u w:val="single"/>
            <w:vertAlign w:val="baseline"/>
          </w:rPr>
          <w:t>34 CFR 664.13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GPA long-term projects are advanced overseas intensive language projects that may be carried out during a full year, an academic year, a semester, a trimester, a quarter, or a summer. GPA long-term projects are designed to take advantage of the opportunities in the foreign country that are not present in the United States when providing intensive advanced foreign language training. Only participants who have successfully completed at least two academic years of training in the language to be studied are eligible for language training under this program. In addition, the language to be studied must be indigenous to the host country and maximum use must be made of local institutions and personnel (</w:t>
      </w:r>
      <w:hyperlink r:id="rId11" w:history="1">
        <w:r>
          <w:rPr>
            <w:rFonts w:ascii="arial" w:eastAsia="arial" w:hAnsi="arial" w:cs="arial"/>
            <w:b w:val="0"/>
            <w:i/>
            <w:strike w:val="0"/>
            <w:noProof w:val="0"/>
            <w:color w:val="0077CC"/>
            <w:position w:val="0"/>
            <w:sz w:val="20"/>
            <w:u w:val="single"/>
            <w:vertAlign w:val="baseline"/>
          </w:rPr>
          <w:t>34 CFR 664.14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submit only one application under this notice and must identify whether they are applying for a short-term project or a long-term project.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notice contains one absolute priority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In accordance with </w:t>
      </w:r>
      <w:hyperlink r:id="rId12" w:history="1">
        <w:r>
          <w:rPr>
            <w:rFonts w:ascii="arial" w:eastAsia="arial" w:hAnsi="arial" w:cs="arial"/>
            <w:b w:val="0"/>
            <w:i/>
            <w:strike w:val="0"/>
            <w:noProof w:val="0"/>
            <w:color w:val="0077CC"/>
            <w:position w:val="0"/>
            <w:sz w:val="20"/>
            <w:u w:val="single"/>
            <w:vertAlign w:val="baseline"/>
          </w:rPr>
          <w:t>34 CFR 75.105(b)(2)(ii)</w:t>
        </w:r>
      </w:hyperlink>
      <w:r>
        <w:rPr>
          <w:rFonts w:ascii="arial" w:eastAsia="arial" w:hAnsi="arial" w:cs="arial"/>
          <w:b w:val="0"/>
          <w:i w:val="0"/>
          <w:strike w:val="0"/>
          <w:noProof w:val="0"/>
          <w:color w:val="000000"/>
          <w:position w:val="0"/>
          <w:sz w:val="20"/>
          <w:u w:val="none"/>
          <w:vertAlign w:val="baseline"/>
        </w:rPr>
        <w:t xml:space="preserve">, the absolute priority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w:t>
      </w:r>
      <w:hyperlink r:id="rId13" w:history="1">
        <w:r>
          <w:rPr>
            <w:rFonts w:ascii="arial" w:eastAsia="arial" w:hAnsi="arial" w:cs="arial"/>
            <w:b w:val="0"/>
            <w:i/>
            <w:strike w:val="0"/>
            <w:noProof w:val="0"/>
            <w:color w:val="0077CC"/>
            <w:position w:val="0"/>
            <w:sz w:val="20"/>
            <w:u w:val="single"/>
            <w:vertAlign w:val="baseline"/>
          </w:rPr>
          <w:t>34 CFR 664.32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and 2 are from the notice of final priorities and definitions (NFP)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is from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w:t>
      </w:r>
      <w:hyperlink r:id="rId13" w:history="1">
        <w:r>
          <w:rPr>
            <w:rFonts w:ascii="arial" w:eastAsia="arial" w:hAnsi="arial" w:cs="arial"/>
            <w:b w:val="0"/>
            <w:i/>
            <w:strike w:val="0"/>
            <w:noProof w:val="0"/>
            <w:color w:val="0077CC"/>
            <w:position w:val="0"/>
            <w:sz w:val="20"/>
            <w:u w:val="single"/>
            <w:vertAlign w:val="baseline"/>
          </w:rPr>
          <w:t>34 CFR 664.32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notice of final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4" w:history="1">
        <w:r>
          <w:rPr>
            <w:rFonts w:ascii="arial" w:eastAsia="arial" w:hAnsi="arial" w:cs="arial"/>
            <w:b w:val="0"/>
            <w:i/>
            <w:strike w:val="0"/>
            <w:noProof w:val="0"/>
            <w:color w:val="0077CC"/>
            <w:position w:val="0"/>
            <w:sz w:val="20"/>
            <w:u w:val="single"/>
            <w:vertAlign w:val="baseline"/>
          </w:rPr>
          <w:t>(75 FR 59050).</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Specific Geographic Regions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project that focuses on one or more of the following geographic regions of the world: Africa, East Asia, South Asia, Southeast Asia and the Pacific, the Western Hemisphere (Central and South America, Mexico, and the Caribbean), Eastern and Central Europe and Eurasia, and the Near East.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2016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three additional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one additional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and up to an additional three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Applicants for short-term projects may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1, 3, and 4. Applicants for long-term projects may address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3, and 4. An applicant must identify the priority or priorities that it believes it meets and provide documentation supporting its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Applications for GPA Short-term Projects from Selected Institutions and Organizations</w:t>
      </w:r>
      <w:r>
        <w:rPr>
          <w:rFonts w:ascii="arial" w:eastAsia="arial" w:hAnsi="arial" w:cs="arial"/>
          <w:b w:val="0"/>
          <w:i w:val="0"/>
          <w:strike w:val="0"/>
          <w:noProof w:val="0"/>
          <w:color w:val="000000"/>
          <w:position w:val="0"/>
          <w:sz w:val="20"/>
          <w:u w:val="none"/>
          <w:vertAlign w:val="baseline"/>
        </w:rPr>
        <w:t xml:space="preserve">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GPA short-term projects from the following types of institutions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Minority-Serving Institutions (MSIs)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Community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New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 educational agencies (SEAs)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Applications for GPA Long-term Projects from Minority Serving Institutions (MSIs)</w:t>
      </w:r>
      <w:r>
        <w:rPr>
          <w:rFonts w:ascii="arial" w:eastAsia="arial" w:hAnsi="arial" w:cs="arial"/>
          <w:b w:val="0"/>
          <w:i w:val="0"/>
          <w:strike w:val="0"/>
          <w:noProof w:val="0"/>
          <w:color w:val="000000"/>
          <w:position w:val="0"/>
          <w:sz w:val="20"/>
          <w:u w:val="none"/>
          <w:vertAlign w:val="baseline"/>
        </w:rPr>
        <w:t xml:space="preserve">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GPA long-term advanced overseas intensive language training projects from MSIs.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Substantive Training and Thematic Focus on Priority Languages</w:t>
      </w:r>
      <w:r>
        <w:rPr>
          <w:rFonts w:ascii="arial" w:eastAsia="arial" w:hAnsi="arial" w:cs="arial"/>
          <w:b w:val="0"/>
          <w:i w:val="0"/>
          <w:strike w:val="0"/>
          <w:noProof w:val="0"/>
          <w:color w:val="000000"/>
          <w:position w:val="0"/>
          <w:sz w:val="20"/>
          <w:u w:val="none"/>
          <w:vertAlign w:val="baseline"/>
        </w:rPr>
        <w:t xml:space="preserve">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that propose GPA short-term or GPA long-term projects that provide substantive training and thematic focus on any of the 78 priority languages selected from the U.S. Department of Education's list of Less Commonly Taught Languages: Akan (Twi-Fante), Albanian, Amharic, Arabic (all dialects), Armenian, Azeri (Azerbaijani), Balochi, Bamanakan </w:t>
      </w:r>
      <w:r>
        <w:rPr>
          <w:rFonts w:ascii="arial" w:eastAsia="arial" w:hAnsi="arial" w:cs="arial"/>
          <w:b/>
          <w:i w:val="0"/>
          <w:strike w:val="0"/>
          <w:noProof w:val="0"/>
          <w:color w:val="000000"/>
          <w:position w:val="0"/>
          <w:sz w:val="20"/>
          <w:u w:val="none"/>
          <w:vertAlign w:val="baseline"/>
        </w:rPr>
        <w:t> [*39254] </w:t>
      </w:r>
      <w:r>
        <w:rPr>
          <w:rFonts w:ascii="arial" w:eastAsia="arial" w:hAnsi="arial" w:cs="arial"/>
          <w:b w:val="0"/>
          <w:i w:val="0"/>
          <w:strike w:val="0"/>
          <w:noProof w:val="0"/>
          <w:color w:val="000000"/>
          <w:position w:val="0"/>
          <w:sz w:val="20"/>
          <w:u w:val="none"/>
          <w:vertAlign w:val="baseline"/>
        </w:rPr>
        <w:t xml:space="preserve"> (Bamana, Bambara, Mandikan, Mandingo, Maninka, Dyula), Belarusian, Bengali (Bangla), Berber (all languages), Bosnian, Bulgarian, Burmese, Cebuano (Visayan), Chechen, Chinese (Cantonese), Chinese (Gan), Chinese (Mandarin), Chinese (Min), Chinese (Wu), Croatian, Dari, Dinka, Georgian, Gujarati, Hausa, Hebrew (Modern), Hindi, Igbo, Indonesian, Japanese, Javanese, Kannada, Kashmiri, Kazakh, Khmer (Cambodian), Kirghiz, Korean, Kurdish (Kurmanji), Kurdish (Sorani), Lao, Malay (Bahasa Melayu or Malaysian), Malayalam, Marathi, Mongolian, Nepali, Oromo, Panjabi, Pashto, Persian (Farsi), Polish, Portuguese (all varieties), Quechua, Romanian, Russian, Serbian, Sinhala (Sinhalese), Somali, Swahili, Tagalog, Tajik, Tamil, Telugu, Thai, Tibetan, Tigrigna, Turkish, Turkmen, Ukrainian, Urdu, Uyghur/Uigur, Uzbek, Vietnamese, Wolof, Xhosa, Yoruba, and Zulu.</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 Inclusion of K-12 Educators</w:t>
      </w:r>
      <w:r>
        <w:rPr>
          <w:rFonts w:ascii="arial" w:eastAsia="arial" w:hAnsi="arial" w:cs="arial"/>
          <w:b w:val="0"/>
          <w:i w:val="0"/>
          <w:strike w:val="0"/>
          <w:noProof w:val="0"/>
          <w:color w:val="000000"/>
          <w:position w:val="0"/>
          <w:sz w:val="20"/>
          <w:u w:val="none"/>
          <w:vertAlign w:val="baseline"/>
        </w:rPr>
        <w:t xml:space="preserve"> (Up to 3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short-term projects abroad that develop and improve foreign language studies, area studies, or both at elementary and secondary schools by including K-12 teachers or K-12 administrators as at least 50 percent of the project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NFP and are designed to provide clarity for applicants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Minority-serving institution (MSI)</w:t>
      </w:r>
      <w:r>
        <w:rPr>
          <w:rFonts w:ascii="arial" w:eastAsia="arial" w:hAnsi="arial" w:cs="arial"/>
          <w:b w:val="0"/>
          <w:i w:val="0"/>
          <w:strike w:val="0"/>
          <w:noProof w:val="0"/>
          <w:color w:val="000000"/>
          <w:position w:val="0"/>
          <w:sz w:val="20"/>
          <w:u w:val="none"/>
          <w:vertAlign w:val="baseline"/>
        </w:rPr>
        <w:t xml:space="preserve"> means an institution that is eligible to receive assistance under sections 316 through 320 of part A of title III, under part B of title III, or under title V of the Higher Education Act of 1965, as amended (HEA).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Community college</w:t>
      </w:r>
      <w:r>
        <w:rPr>
          <w:rFonts w:ascii="arial" w:eastAsia="arial" w:hAnsi="arial" w:cs="arial"/>
          <w:b w:val="0"/>
          <w:i w:val="0"/>
          <w:strike w:val="0"/>
          <w:noProof w:val="0"/>
          <w:color w:val="000000"/>
          <w:position w:val="0"/>
          <w:sz w:val="20"/>
          <w:u w:val="none"/>
          <w:vertAlign w:val="baseline"/>
        </w:rPr>
        <w:t xml:space="preserve"> means an institution that meets the definition in section 312(f) of the Higher Education Act of 1965, as amended (HEA) (</w:t>
      </w:r>
      <w:hyperlink r:id="rId15" w:history="1">
        <w:r>
          <w:rPr>
            <w:rFonts w:ascii="arial" w:eastAsia="arial" w:hAnsi="arial" w:cs="arial"/>
            <w:b w:val="0"/>
            <w:i/>
            <w:strike w:val="0"/>
            <w:noProof w:val="0"/>
            <w:color w:val="0077CC"/>
            <w:position w:val="0"/>
            <w:sz w:val="20"/>
            <w:u w:val="single"/>
            <w:vertAlign w:val="baseline"/>
          </w:rPr>
          <w:t>20 U.S.C. 1058(f)</w:t>
        </w:r>
      </w:hyperlink>
      <w:r>
        <w:rPr>
          <w:rFonts w:ascii="arial" w:eastAsia="arial" w:hAnsi="arial" w:cs="arial"/>
          <w:b w:val="0"/>
          <w:i w:val="0"/>
          <w:strike w:val="0"/>
          <w:noProof w:val="0"/>
          <w:color w:val="000000"/>
          <w:position w:val="0"/>
          <w:sz w:val="20"/>
          <w:u w:val="none"/>
          <w:vertAlign w:val="baseline"/>
        </w:rPr>
        <w:t>); or an institution of higher education (as defined in section 101 of the HEA (</w:t>
      </w:r>
      <w:hyperlink r:id="rId16" w:history="1">
        <w:r>
          <w:rPr>
            <w:rFonts w:ascii="arial" w:eastAsia="arial" w:hAnsi="arial" w:cs="arial"/>
            <w:b w:val="0"/>
            <w:i/>
            <w:strike w:val="0"/>
            <w:noProof w:val="0"/>
            <w:color w:val="0077CC"/>
            <w:position w:val="0"/>
            <w:sz w:val="20"/>
            <w:u w:val="single"/>
            <w:vertAlign w:val="baseline"/>
          </w:rPr>
          <w:t>20 U.S.C. 1001</w:t>
        </w:r>
      </w:hyperlink>
      <w:r>
        <w:rPr>
          <w:rFonts w:ascii="arial" w:eastAsia="arial" w:hAnsi="arial" w:cs="arial"/>
          <w:b w:val="0"/>
          <w:i w:val="0"/>
          <w:strike w:val="0"/>
          <w:noProof w:val="0"/>
          <w:color w:val="000000"/>
          <w:position w:val="0"/>
          <w:sz w:val="20"/>
          <w:u w:val="none"/>
          <w:vertAlign w:val="baseline"/>
        </w:rPr>
        <w:t>)) that awards degrees and certificates, more than 50 percent of which are not bachelor's degrees (or an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 applicant</w:t>
      </w:r>
      <w:r>
        <w:rPr>
          <w:rFonts w:ascii="arial" w:eastAsia="arial" w:hAnsi="arial" w:cs="arial"/>
          <w:b w:val="0"/>
          <w:i w:val="0"/>
          <w:strike w:val="0"/>
          <w:noProof w:val="0"/>
          <w:color w:val="000000"/>
          <w:position w:val="0"/>
          <w:sz w:val="20"/>
          <w:u w:val="none"/>
          <w:vertAlign w:val="baseline"/>
        </w:rPr>
        <w:t xml:space="preserve"> means any applicant that has not received a discretionary grant from the Department of Education under the Fulbright-Hays Act prior to the deadline date for applications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State educational agency (SEA)</w:t>
      </w:r>
      <w:r>
        <w:rPr>
          <w:rFonts w:ascii="arial" w:eastAsia="arial" w:hAnsi="arial" w:cs="arial"/>
          <w:b w:val="0"/>
          <w:i w:val="0"/>
          <w:strike w:val="0"/>
          <w:noProof w:val="0"/>
          <w:color w:val="000000"/>
          <w:position w:val="0"/>
          <w:sz w:val="20"/>
          <w:u w:val="none"/>
          <w:vertAlign w:val="baseline"/>
        </w:rPr>
        <w:t xml:space="preserve"> means the State board of education or other agency or officer primarily responsible for the supervision of public elementary and secondary schools in a State. In the absence of this officer or agency, it is an officer or agency designated by the Governor or State law.</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22 U.S.C. 2452(b)(6)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81, 82, 84, 86, 97, 98, and 99. (b) The Office of Management and Budget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664. (e) The NFP. (f) The notice of final priorities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24, 2010 </w:t>
      </w:r>
      <w:hyperlink r:id="rId14" w:history="1">
        <w:r>
          <w:rPr>
            <w:rFonts w:ascii="arial" w:eastAsia="arial" w:hAnsi="arial" w:cs="arial"/>
            <w:b w:val="0"/>
            <w:i/>
            <w:strike w:val="0"/>
            <w:noProof w:val="0"/>
            <w:color w:val="0077CC"/>
            <w:position w:val="0"/>
            <w:sz w:val="20"/>
            <w:u w:val="single"/>
            <w:vertAlign w:val="baseline"/>
          </w:rPr>
          <w:t>(75 FR 59050).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$ 2,792,440.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2017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projects:</w:t>
      </w:r>
      <w:r>
        <w:rPr>
          <w:rFonts w:ascii="arial" w:eastAsia="arial" w:hAnsi="arial" w:cs="arial"/>
          <w:b w:val="0"/>
          <w:i w:val="0"/>
          <w:strike w:val="0"/>
          <w:noProof w:val="0"/>
          <w:color w:val="000000"/>
          <w:position w:val="0"/>
          <w:sz w:val="20"/>
          <w:u w:val="none"/>
          <w:vertAlign w:val="baseline"/>
        </w:rPr>
        <w:t xml:space="preserve"> $ 50,000-$ 100,000.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projects:</w:t>
      </w:r>
      <w:r>
        <w:rPr>
          <w:rFonts w:ascii="arial" w:eastAsia="arial" w:hAnsi="arial" w:cs="arial"/>
          <w:b w:val="0"/>
          <w:i w:val="0"/>
          <w:strike w:val="0"/>
          <w:noProof w:val="0"/>
          <w:color w:val="000000"/>
          <w:position w:val="0"/>
          <w:sz w:val="20"/>
          <w:u w:val="none"/>
          <w:vertAlign w:val="baseline"/>
        </w:rPr>
        <w:t xml:space="preserve"> $ 50,000-$ 250,000.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projects:</w:t>
      </w:r>
      <w:r>
        <w:rPr>
          <w:rFonts w:ascii="arial" w:eastAsia="arial" w:hAnsi="arial" w:cs="arial"/>
          <w:b w:val="0"/>
          <w:i w:val="0"/>
          <w:strike w:val="0"/>
          <w:noProof w:val="0"/>
          <w:color w:val="000000"/>
          <w:position w:val="0"/>
          <w:sz w:val="20"/>
          <w:u w:val="none"/>
          <w:vertAlign w:val="baseline"/>
        </w:rPr>
        <w:t xml:space="preserve"> $ 80,059.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projects:</w:t>
      </w:r>
      <w:r>
        <w:rPr>
          <w:rFonts w:ascii="arial" w:eastAsia="arial" w:hAnsi="arial" w:cs="arial"/>
          <w:b w:val="0"/>
          <w:i w:val="0"/>
          <w:strike w:val="0"/>
          <w:noProof w:val="0"/>
          <w:color w:val="000000"/>
          <w:position w:val="0"/>
          <w:sz w:val="20"/>
          <w:u w:val="none"/>
          <w:vertAlign w:val="baseline"/>
        </w:rPr>
        <w:t xml:space="preserve"> $ 185,025.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GPA short-term project application that proposes a budget exceeding $ 100,000 for a single project period of 18 months. We will reject any GPA long-term project application that proposes a budget exceeding $ 250,000 for a single budget period of 24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projects:</w:t>
      </w:r>
      <w:r>
        <w:rPr>
          <w:rFonts w:ascii="arial" w:eastAsia="arial" w:hAnsi="arial" w:cs="arial"/>
          <w:b w:val="0"/>
          <w:i w:val="0"/>
          <w:strike w:val="0"/>
          <w:noProof w:val="0"/>
          <w:color w:val="000000"/>
          <w:position w:val="0"/>
          <w:sz w:val="20"/>
          <w:u w:val="none"/>
          <w:vertAlign w:val="baseline"/>
        </w:rPr>
        <w:t xml:space="preserve">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projects:</w:t>
      </w:r>
      <w:r>
        <w:rPr>
          <w:rFonts w:ascii="arial" w:eastAsia="arial" w:hAnsi="arial" w:cs="arial"/>
          <w:b w:val="0"/>
          <w:i w:val="0"/>
          <w:strike w:val="0"/>
          <w:noProof w:val="0"/>
          <w:color w:val="000000"/>
          <w:position w:val="0"/>
          <w:sz w:val="20"/>
          <w:u w:val="none"/>
          <w:vertAlign w:val="baseline"/>
        </w:rPr>
        <w:t xml:space="preserv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Short-term projects:</w:t>
      </w:r>
      <w:r>
        <w:rPr>
          <w:rFonts w:ascii="arial" w:eastAsia="arial" w:hAnsi="arial" w:cs="arial"/>
          <w:b w:val="0"/>
          <w:i w:val="0"/>
          <w:strike w:val="0"/>
          <w:noProof w:val="0"/>
          <w:color w:val="000000"/>
          <w:position w:val="0"/>
          <w:sz w:val="20"/>
          <w:u w:val="none"/>
          <w:vertAlign w:val="baseline"/>
        </w:rPr>
        <w:t xml:space="preserve"> Up to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Long-term projects:</w:t>
      </w:r>
      <w:r>
        <w:rPr>
          <w:rFonts w:ascii="arial" w:eastAsia="arial" w:hAnsi="arial" w:cs="arial"/>
          <w:b w:val="0"/>
          <w:i w:val="0"/>
          <w:strike w:val="0"/>
          <w:noProof w:val="0"/>
          <w:color w:val="000000"/>
          <w:position w:val="0"/>
          <w:sz w:val="20"/>
          <w:u w:val="none"/>
          <w:vertAlign w:val="baseline"/>
        </w:rPr>
        <w:t xml:space="preserve"> Up to 24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(1) IHEs, (2) State departments of education, (3) Private nonprofit educational organizations, and (4) Consortia of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To obtain a copy from ED Pubs, write, fax, or call: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19"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0"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package from ED Pubs, be sure to identify this program 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is where you, the applicant, address the selection criteria that reviewers use to evaluate your application. You must limit the application narrative (Part III) to no more than 40 pages, using the following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"page" is 8.5" x 11", on one side only, with 1" margins at the top, bottom, and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Double space (no more than three lines per vertical inch) all text in the application narrative,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titles, headings, footnotes, quotations, references, and captions. Charts, tables, figures, and graphs in the application narrative may be single spaced and will count toward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Use a font that is either 12 point or larger, or no smaller than 10 pitch (characters per inch). However, you may use a 10-point font in charts, tables, figures, and 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Use one of the following fonts: Times New Roman, Courier, Courier </w:t>
      </w:r>
      <w:r>
        <w:rPr>
          <w:rFonts w:ascii="arial" w:eastAsia="arial" w:hAnsi="arial" w:cs="arial"/>
          <w:b/>
          <w:i w:val="0"/>
          <w:strike w:val="0"/>
          <w:noProof w:val="0"/>
          <w:color w:val="000000"/>
          <w:position w:val="0"/>
          <w:sz w:val="20"/>
          <w:u w:val="none"/>
          <w:vertAlign w:val="baseline"/>
        </w:rPr>
        <w:t> [*39255] </w:t>
      </w:r>
      <w:r>
        <w:rPr>
          <w:rFonts w:ascii="arial" w:eastAsia="arial" w:hAnsi="arial" w:cs="arial"/>
          <w:b w:val="0"/>
          <w:i w:val="0"/>
          <w:strike w:val="0"/>
          <w:noProof w:val="0"/>
          <w:color w:val="000000"/>
          <w:position w:val="0"/>
          <w:sz w:val="20"/>
          <w:u w:val="none"/>
          <w:vertAlign w:val="baseline"/>
        </w:rPr>
        <w:t xml:space="preserve">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40-page limit does not apply to Part I, the Application for Federal Assistance face sheet (SF 424); the supplemental information form required by the Department of Education; Part II, Budget Information--Non-Construction Programs (ED 524); Part IV, assurances, certifications, and the response to section 427 of the General Education Provisions Act (GEPA); the table of contents; the one-page project abstract; the appendices; or the line-item budget. However, the page limit does apply to all of the application narrative (Part III). If you include any attachments or appendices not specifically requested, these items will be counted as part of the application narrative for purposes of the page-limit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June 16,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August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For information (including dates and times) about how to submit your application electronically, or in paper format by mail or hand delivery if you qualify for an exception to the electronic submission requirement, please refer to Other Submission Requirements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not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specify unallowable costs in </w:t>
      </w:r>
      <w:hyperlink r:id="rId21" w:history="1">
        <w:r>
          <w:rPr>
            <w:rFonts w:ascii="arial" w:eastAsia="arial" w:hAnsi="arial" w:cs="arial"/>
            <w:b w:val="0"/>
            <w:i/>
            <w:strike w:val="0"/>
            <w:noProof w:val="0"/>
            <w:color w:val="0077CC"/>
            <w:position w:val="0"/>
            <w:sz w:val="20"/>
            <w:u w:val="single"/>
            <w:vertAlign w:val="baseline"/>
          </w:rPr>
          <w:t>34 CFR 664.33</w:t>
        </w:r>
      </w:hyperlink>
      <w:r>
        <w:rPr>
          <w:rFonts w:ascii="arial" w:eastAsia="arial" w:hAnsi="arial" w:cs="arial"/>
          <w:b w:val="0"/>
          <w:i w:val="0"/>
          <w:strike w:val="0"/>
          <w:noProof w:val="0"/>
          <w:color w:val="000000"/>
          <w:position w:val="0"/>
          <w:sz w:val="20"/>
          <w:u w:val="none"/>
          <w:vertAlign w:val="baseline"/>
        </w:rPr>
        <w:t xml:space="preserve">. We reference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hyperlink r:id="rId24"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5"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grants under this program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Fulbright-Hays GPA Program, CFDA number 84.021A,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Fulbright-Hays GPA Program at </w:t>
      </w:r>
      <w:hyperlink r:id="rId18"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You must search for the downloadable application package for this program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84.021, not 84.021A).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w:t>
      </w:r>
      <w:r>
        <w:rPr>
          <w:rFonts w:ascii="arial" w:eastAsia="arial" w:hAnsi="arial" w:cs="arial"/>
          <w:b/>
          <w:i w:val="0"/>
          <w:strike w:val="0"/>
          <w:noProof w:val="0"/>
          <w:color w:val="000000"/>
          <w:position w:val="0"/>
          <w:sz w:val="20"/>
          <w:u w:val="none"/>
          <w:vertAlign w:val="baseline"/>
        </w:rPr>
        <w:t> [*39256] </w:t>
      </w:r>
      <w:r>
        <w:rPr>
          <w:rFonts w:ascii="arial" w:eastAsia="arial" w:hAnsi="arial" w:cs="arial"/>
          <w:b w:val="0"/>
          <w:i w:val="0"/>
          <w:strike w:val="0"/>
          <w:noProof w:val="0"/>
          <w:color w:val="000000"/>
          <w:position w:val="0"/>
          <w:sz w:val="20"/>
          <w:u w:val="none"/>
          <w:vertAlign w:val="baseline"/>
        </w:rPr>
        <w:t xml:space="preserve">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program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will not receive additional point value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submit your application in electronic format, nor will we penalize you if you qualify for an exception to the electronic submission requirement, as described elsewhere in this section, and submit your application in paper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project narrative--is critical to a meaningful review of your proposal. For that reason, it is important to allow yourself adequate time to upload all material as PDF files. The Department will not convert material from other formats to 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Your electronic application must comply with any page-limit requirements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You do not have access to the Internet;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no later than two weeks before the </w:t>
      </w:r>
      <w:r>
        <w:rPr>
          <w:rFonts w:ascii="arial" w:eastAsia="arial" w:hAnsi="arial" w:cs="arial"/>
          <w:b/>
          <w:i w:val="0"/>
          <w:strike w:val="0"/>
          <w:noProof w:val="0"/>
          <w:color w:val="000000"/>
          <w:position w:val="0"/>
          <w:sz w:val="20"/>
          <w:u w:val="none"/>
          <w:vertAlign w:val="baseline"/>
        </w:rPr>
        <w:t> [*39257] </w:t>
      </w:r>
      <w:r>
        <w:rPr>
          <w:rFonts w:ascii="arial" w:eastAsia="arial" w:hAnsi="arial" w:cs="arial"/>
          <w:b w:val="0"/>
          <w:i w:val="0"/>
          <w:strike w:val="0"/>
          <w:noProof w:val="0"/>
          <w:color w:val="000000"/>
          <w:position w:val="0"/>
          <w:sz w:val="20"/>
          <w:u w:val="none"/>
          <w:vertAlign w:val="baseline"/>
        </w:rPr>
        <w:t xml:space="preserv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for Fulbright-Hays GPA to: Reha Mallory, Fulbright-Hays Group Projects Abroad Program, U.S. Department of Education, 400 Maryland Avenue SW., Room 3E213, Washington, DC 20202. FAX: (202) 453-7502.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84.021A),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84.021A),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w:t>
      </w:r>
      <w:hyperlink r:id="rId28" w:history="1">
        <w:r>
          <w:rPr>
            <w:rFonts w:ascii="arial" w:eastAsia="arial" w:hAnsi="arial" w:cs="arial"/>
            <w:b w:val="0"/>
            <w:i/>
            <w:strike w:val="0"/>
            <w:noProof w:val="0"/>
            <w:color w:val="0077CC"/>
            <w:position w:val="0"/>
            <w:sz w:val="20"/>
            <w:u w:val="single"/>
            <w:vertAlign w:val="baseline"/>
          </w:rPr>
          <w:t>34 CFR 664.31</w:t>
        </w:r>
      </w:hyperlink>
      <w:r>
        <w:rPr>
          <w:rFonts w:ascii="arial" w:eastAsia="arial" w:hAnsi="arial" w:cs="arial"/>
          <w:b w:val="0"/>
          <w:i w:val="0"/>
          <w:strike w:val="0"/>
          <w:noProof w:val="0"/>
          <w:color w:val="000000"/>
          <w:position w:val="0"/>
          <w:sz w:val="20"/>
          <w:u w:val="none"/>
          <w:vertAlign w:val="baseline"/>
        </w:rPr>
        <w:t xml:space="preserve"> and are as follows: (a) Plan of operation (20 points); (b) Quality of key personnel (10 points); (c) Budget and cost effectiveness (10 points); (d) Evaluation plan (20 points); (e) Adequacy of resources (5 points); (f) Potential impact of the project on the development of the study of modern foreign languages and area studies in American education (15 points); (g) The project's relevance to the applicant's educational goals and its relationship to its program development in modern foreign languages and area studies (10 points); and (h) The extent to which direct experience abroad is necessary to achieve the project's objectives and the effectiveness with which relevant host country resources will be utilized (10 points). Additional information about these criteria is in the application package for this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29"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0"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4"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FY 2016, GPA short-term project applications will be reviewed by separate panels according to world area. GPA long-term projects will be reviewed by one panel across world areas. A rank order from highest to lowest score will be developed for each of the two types of projects and will be used for funding purposes.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35"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36"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7"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[*39258]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8"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Grantees are required to use the electronic data instrument International Resource Information System (IRIS) to complete the final report. The Secretary may also require more frequent performance reports under </w:t>
      </w:r>
      <w:hyperlink r:id="rId39"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following measures will be used by the Department to evaluate the success of the GPA short-term program the percentage of GPA participants who disseminated information about or materials from their group project abroad through more than one outreach activity within six months of returning to their home institution. The long-term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advanced overseas intensive language projects, will be evaluated by the percentage participants who increased their reading, writing, and/or listening/speaking foreign language scores by one proficiency level. The efficiency is the cost per GPA participant who increased his/her foreign language score in reading, writing, and/or listening/speaking by at least one proficiency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provided by grantees in their performance reports submitted via IRIS will be the source of data for this measure. Reporting screens for institutions can be viewed at: </w:t>
      </w:r>
      <w:hyperlink r:id="rId41" w:history="1">
        <w:r>
          <w:rPr>
            <w:rFonts w:ascii="arial" w:eastAsia="arial" w:hAnsi="arial" w:cs="arial"/>
            <w:b w:val="0"/>
            <w:i/>
            <w:strike w:val="0"/>
            <w:noProof w:val="0"/>
            <w:color w:val="0077CC"/>
            <w:position w:val="0"/>
            <w:sz w:val="20"/>
            <w:u w:val="single"/>
            <w:vertAlign w:val="baseline"/>
          </w:rPr>
          <w:t>http://iris.ed.gov/iris/pdfs/gpa_director.pdf</w:t>
        </w:r>
      </w:hyperlink>
      <w:r>
        <w:rPr>
          <w:rFonts w:ascii="arial" w:eastAsia="arial" w:hAnsi="arial" w:cs="arial"/>
          <w:b w:val="0"/>
          <w:i w:val="0"/>
          <w:strike w:val="0"/>
          <w:noProof w:val="0"/>
          <w:color w:val="000000"/>
          <w:position w:val="0"/>
          <w:sz w:val="20"/>
          <w:u w:val="none"/>
          <w:vertAlign w:val="baseline"/>
        </w:rPr>
        <w:t xml:space="preserve"> and </w:t>
      </w:r>
      <w:hyperlink r:id="rId42" w:history="1">
        <w:r>
          <w:rPr>
            <w:rFonts w:ascii="arial" w:eastAsia="arial" w:hAnsi="arial" w:cs="arial"/>
            <w:b w:val="0"/>
            <w:i/>
            <w:strike w:val="0"/>
            <w:noProof w:val="0"/>
            <w:color w:val="0077CC"/>
            <w:position w:val="0"/>
            <w:sz w:val="20"/>
            <w:u w:val="single"/>
            <w:vertAlign w:val="baseline"/>
          </w:rPr>
          <w:t>http://iris.ed.gov/iris/pdfs/gpa_participant.pdf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text or PDF. To use PDF, you must have Adobe Acrobat Reader, which is available free at the site. 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Deputy Assistant Secretary for Policy, Planning, and Innovation, Delegated the Duties of the Assistant Secretary for Postsecondary Education.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2016-14303 Filed 6-15-16;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Reha Mallory, Fulbright-Hays Group Projects Abroad Program, U.S. Department of Education, 400 Maryland Avenue SW., Room 3E213, Washington, DC 20202. FAX: (202) 453-7502 or by email: </w:t>
      </w:r>
      <w:hyperlink r:id="rId45" w:history="1">
        <w:r>
          <w:rPr>
            <w:rFonts w:ascii="arial" w:eastAsia="arial" w:hAnsi="arial" w:cs="arial"/>
            <w:b w:val="0"/>
            <w:i/>
            <w:strike w:val="0"/>
            <w:noProof w:val="0"/>
            <w:color w:val="0077CC"/>
            <w:position w:val="0"/>
            <w:sz w:val="20"/>
            <w:u w:val="single"/>
            <w:vertAlign w:val="baseline"/>
          </w:rPr>
          <w:t>reha.mallory@ed.gov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39253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RWB-NH00-008H-0490-00000-00&amp;context=" TargetMode="External" /><Relationship Id="rId11" Type="http://schemas.openxmlformats.org/officeDocument/2006/relationships/hyperlink" Target="https://advance.lexis.com/api/document?collection=administrative-codes&amp;id=urn:contentItem:5RWB-NH00-008H-0491-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RWB-NH00-008H-0492-00000-00&amp;context=" TargetMode="External" /><Relationship Id="rId14" Type="http://schemas.openxmlformats.org/officeDocument/2006/relationships/hyperlink" Target="https://advance.lexis.com/api/document?collection=administrative-codes&amp;id=urn:contentItem:5138-DJB0-006W-83JW-00000-00&amp;context=" TargetMode="External" /><Relationship Id="rId15" Type="http://schemas.openxmlformats.org/officeDocument/2006/relationships/hyperlink" Target="https://advance.lexis.com/api/document?collection=statutes-legislation&amp;id=urn:contentItem:4YF7-GV01-NRF4-41XD-00000-00&amp;context=" TargetMode="External" /><Relationship Id="rId16" Type="http://schemas.openxmlformats.org/officeDocument/2006/relationships/hyperlink" Target="https://advance.lexis.com/api/document?collection=statutes-legislation&amp;id=urn:contentItem:4YF7-GSD1-NRF4-425W-00000-00&amp;context=" TargetMode="External" /><Relationship Id="rId17" Type="http://schemas.openxmlformats.org/officeDocument/2006/relationships/hyperlink" Target="https://advance.lexis.com/api/document?collection=statutes-legislation&amp;id=urn:contentItem:4YF7-GW91-NRF4-44PV-00000-00&amp;context=" TargetMode="External" /><Relationship Id="rId18" Type="http://schemas.openxmlformats.org/officeDocument/2006/relationships/hyperlink" Target="http://www.Grants.gov" TargetMode="External" /><Relationship Id="rId19" Type="http://schemas.openxmlformats.org/officeDocument/2006/relationships/hyperlink" Target="http://www.EDPubs.gov" TargetMode="External" /><Relationship Id="rId2" Type="http://schemas.openxmlformats.org/officeDocument/2006/relationships/webSettings" Target="webSettings.xml" /><Relationship Id="rId20" Type="http://schemas.openxmlformats.org/officeDocument/2006/relationships/hyperlink" Target="mailto:edpubs@inet.ed.gov" TargetMode="External" /><Relationship Id="rId21" Type="http://schemas.openxmlformats.org/officeDocument/2006/relationships/hyperlink" Target="https://advance.lexis.com/api/document?collection=administrative-codes&amp;id=urn:contentItem:5RWB-NH00-008H-0493-00000-00&amp;context=" TargetMode="External" /><Relationship Id="rId22" Type="http://schemas.openxmlformats.org/officeDocument/2006/relationships/hyperlink" Target="http://fedgov.dnb.com/webform" TargetMode="External" /><Relationship Id="rId23" Type="http://schemas.openxmlformats.org/officeDocument/2006/relationships/hyperlink" Target="http://www.SAM.gov" TargetMode="External" /><Relationship Id="rId24" Type="http://schemas.openxmlformats.org/officeDocument/2006/relationships/hyperlink" Target="http://www2.ed.gov/fund/grant/apply/sam-faqs.html" TargetMode="External" /><Relationship Id="rId25" Type="http://schemas.openxmlformats.org/officeDocument/2006/relationships/hyperlink" Target="http://www.grants.gov/web/grants/register.html"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s://advance.lexis.com/api/document?collection=administrative-codes&amp;id=urn:contentItem:5RWB-NH20-008H-04WS-00000-00&amp;context=" TargetMode="External" /><Relationship Id="rId29" Type="http://schemas.openxmlformats.org/officeDocument/2006/relationships/hyperlink" Target="https://advance.lexis.com/api/document?collection=administrative-codes&amp;id=urn:contentItem:5GMB-DPB0-008H-02G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S0-F5W0-008H-023P-00000-00&amp;context=" TargetMode="External" /><Relationship Id="rId31" Type="http://schemas.openxmlformats.org/officeDocument/2006/relationships/hyperlink" Target="https://advance.lexis.com/api/document?collection=administrative-codes&amp;id=urn:contentItem:5R5H-J1H0-008H-043K-00000-00&amp;context=" TargetMode="External" /><Relationship Id="rId32" Type="http://schemas.openxmlformats.org/officeDocument/2006/relationships/hyperlink" Target="https://advance.lexis.com/api/document?collection=administrative-codes&amp;id=urn:contentItem:5KS0-F5W0-008H-024V-00000-00&amp;context=" TargetMode="External" /><Relationship Id="rId33" Type="http://schemas.openxmlformats.org/officeDocument/2006/relationships/hyperlink" Target="https://advance.lexis.com/api/document?collection=administrative-codes&amp;id=urn:contentItem:5KS0-F600-008H-02PT-00000-00&amp;context=" TargetMode="External" /><Relationship Id="rId34" Type="http://schemas.openxmlformats.org/officeDocument/2006/relationships/hyperlink" Target="https://advance.lexis.com/api/document?collection=administrative-codes&amp;id=urn:contentItem:5KS0-F5W0-008H-025B-00000-00&amp;context=" TargetMode="External" /><Relationship Id="rId35" Type="http://schemas.openxmlformats.org/officeDocument/2006/relationships/hyperlink" Target="https://advance.lexis.com/api/document?collection=administrative-codes&amp;id=urn:contentItem:5HDM-DHF0-008G-Y2NJ-00000-00&amp;context=" TargetMode="External" /><Relationship Id="rId36" Type="http://schemas.openxmlformats.org/officeDocument/2006/relationships/hyperlink" Target="https://advance.lexis.com/api/document?collection=administrative-codes&amp;id=urn:contentItem:5F34-Y1R0-008G-Y1F9-00000-00&amp;context=" TargetMode="External" /><Relationship Id="rId37" Type="http://schemas.openxmlformats.org/officeDocument/2006/relationships/hyperlink" Target="https://advance.lexis.com/api/document?collection=administrative-codes&amp;id=urn:contentItem:5F2R-48P0-008G-Y31V-00000-00&amp;context=" TargetMode="External" /><Relationship Id="rId38" Type="http://schemas.openxmlformats.org/officeDocument/2006/relationships/hyperlink" Target="https://advance.lexis.com/api/document?collection=administrative-codes&amp;id=urn:contentItem:5GMB-DPC0-008H-02S7-00000-00&amp;context=" TargetMode="External" /><Relationship Id="rId39" Type="http://schemas.openxmlformats.org/officeDocument/2006/relationships/hyperlink" Target="https://advance.lexis.com/api/document?collection=administrative-codes&amp;id=urn:contentItem:5GMB-DPC0-008H-02SK-00000-00&amp;context=" TargetMode="External" /><Relationship Id="rId4" Type="http://schemas.openxmlformats.org/officeDocument/2006/relationships/header" Target="header1.xml" /><Relationship Id="rId40" Type="http://schemas.openxmlformats.org/officeDocument/2006/relationships/hyperlink" Target="http://www.ed.gov/fund/grant/apply/appforms/appforms.html" TargetMode="External" /><Relationship Id="rId41" Type="http://schemas.openxmlformats.org/officeDocument/2006/relationships/hyperlink" Target="http://iris.ed.gov/iris/pdfs/gpa_director.pdf" TargetMode="External" /><Relationship Id="rId42" Type="http://schemas.openxmlformats.org/officeDocument/2006/relationships/hyperlink" Target="http://iris.ed.gov/iris/pdfs/gpa_participant.pdf" TargetMode="External" /><Relationship Id="rId43" Type="http://schemas.openxmlformats.org/officeDocument/2006/relationships/hyperlink" Target="http://www.gpo.gov/fdsys" TargetMode="External" /><Relationship Id="rId44" Type="http://schemas.openxmlformats.org/officeDocument/2006/relationships/hyperlink" Target="http://www.federalregister.gov" TargetMode="External" /><Relationship Id="rId45" Type="http://schemas.openxmlformats.org/officeDocument/2006/relationships/hyperlink" Target="mailto:reha.mallory@ed.gov" TargetMode="Externa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1B-W7C0-006W-804V-00000-00&amp;context=" TargetMode="External" /><Relationship Id="rId8" Type="http://schemas.openxmlformats.org/officeDocument/2006/relationships/hyperlink" Target="https://advance.lexis.com/api/document?collection=administrative-codes&amp;id=urn:contentItem:5RWB-NH00-008H-048X-00000-00&amp;context=" TargetMode="External" /><Relationship Id="rId9" Type="http://schemas.openxmlformats.org/officeDocument/2006/relationships/hyperlink" Target="https://advance.lexis.com/api/document?collection=administrative-codes&amp;id=urn:contentItem:5RWB-NH00-008H-048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35680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71560635</vt:lpwstr>
  </property>
  <property fmtid="{D5CDD505-2E9C-101B-9397-08002B2CF9AE}" pid="3" name="LADocCount">
    <vt:lpwstr>1</vt:lpwstr>
  </property>
  <property fmtid="{D5CDD505-2E9C-101B-9397-08002B2CF9AE}" pid="4" name="UserPermID">
    <vt:lpwstr>urn:user:PA185916758</vt:lpwstr>
  </property>
</Properties>
</file>