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39957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118, Monday, June 20,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39957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June 20,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GTCR Fund X/A AIV LP, et al.;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Hold Separate Stipulation and Order,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GTCR Fund X/A AIV LP et al.,</w:t>
      </w:r>
      <w:r>
        <w:rPr>
          <w:rFonts w:ascii="arial" w:eastAsia="arial" w:hAnsi="arial" w:cs="arial"/>
          <w:b w:val="0"/>
          <w:i w:val="0"/>
          <w:strike w:val="0"/>
          <w:noProof w:val="0"/>
          <w:color w:val="000000"/>
          <w:position w:val="0"/>
          <w:sz w:val="20"/>
          <w:u w:val="none"/>
          <w:vertAlign w:val="baseline"/>
        </w:rPr>
        <w:t xml:space="preserve"> Civil Action No. 1:16-cv-01091. On June 10, 2016, the United States filed a Complaint alleging that GTCR and Cision's proposed acquisition of PR Newswire from UBM plc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The proposed Final Judgment, filed at the same time as the Complaint, requires the defendants to divest PR Newswire's Agility and Agility Plus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Scott A. Scheele, Chief, Telecommunications and Media Enforcement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7000, Washington, DC 20530 (telephone: 202-616-5924).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of America,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450 5th Street NW., Suite 7000, Washington, DC 20530</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GTCR Fund X/A AIV LP, 300 North LaSalle Street, Suite 5600, Chicago, IL 60654, Cision US Inc., 130 East Randolph Street, 7th Floor, Chicago, IL 60601, UBM PLC, Ogier House, The Esplanade, St. Helier, Jersey, JE4 9WG, PRN Delaware, Inc., 2 Penn Plaza, 15th Floor, New York, NY 10121,</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PWW Acquisition LLC, 300 North LaSalle Street, Suite 5600, Chicago, IL 60654,</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1:16-cv-01091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Thomas F.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06/10/2016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of America ("United States"), acting under the direction of the Attorney General of the United States, brings this civil action to enjoin the proposed acquisition of Defendant PRN Delaware, Inc. ("PRN"), a subsidiary of Defendant UBM plc ("UBM"), by Defendant GTCR Fund X/A AIV LP ("GTCR") through its subsidiary Defendant PWW Acquisition LLC ("PWW") (collectively, the "transaction"), and to obtain other equitable relief.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Businesses, nonprofits, and other organizations rely on media contact databases to identify journalists and other influencers for public relations purposes. GTCR's subsidiary, Defendant Cision US Inc. ("Cision"), operates the dominant media contact database in the United States as part of its flagship public relations workflow software suite. As a result of the transaction, GTCR will acquire UBM's PR Newswire business, which operates the third largest media contact database in the United States as part of its public relations workflow software suites sold under the Agility and Agility Plus brands ("Agility"). Cision and Agility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to serve media contact database customers throughout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Cision and Agility face limited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sale of media contact databases in the United States. Only one other media contact database has gained more than a de minimis market share. Elimination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Cision and Agility would leave many customers in the United States with only two media contact database companies capable of fulfilling their </w:t>
      </w:r>
      <w:r>
        <w:rPr>
          <w:rFonts w:ascii="arial" w:eastAsia="arial" w:hAnsi="arial" w:cs="arial"/>
          <w:b/>
          <w:i w:val="0"/>
          <w:strike w:val="0"/>
          <w:noProof w:val="0"/>
          <w:color w:val="000000"/>
          <w:position w:val="0"/>
          <w:sz w:val="20"/>
          <w:u w:val="none"/>
          <w:vertAlign w:val="baseline"/>
        </w:rPr>
        <w:t> [*39958] </w:t>
      </w:r>
      <w:r>
        <w:rPr>
          <w:rFonts w:ascii="arial" w:eastAsia="arial" w:hAnsi="arial" w:cs="arial"/>
          <w:b w:val="0"/>
          <w:i w:val="0"/>
          <w:strike w:val="0"/>
          <w:noProof w:val="0"/>
          <w:color w:val="000000"/>
          <w:position w:val="0"/>
          <w:sz w:val="20"/>
          <w:u w:val="none"/>
          <w:vertAlign w:val="baseline"/>
        </w:rPr>
        <w:t xml:space="preserve"> needs. The two remaining companies would have decreased incentives to discount their media contact database subscription prices during negotiations with prospective customers or improve their products to meet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a result, the transaction would likely result in many consumers paying higher net prices and receiving lower quality products and services than they would absent the transaction.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Accordingly, the transaction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media contact database market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and should be enjoined.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JURISDICTION, VENUE, AND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The United States brings this action under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as amended, to prevent and restrain Defendants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This Court has subject matter jurisdiction over this action pursuant to Section 15 of the Clayton Act,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 Defendants are engaged in interstate commerce and in activities substantially affecting interstate commerce. GTCR, through Cision and other subsidiaries, and UBM, through PRN and other subsidiaries, market and sell their respective products and services, including their public relations workflow software suites, throughout the United States and regularly transact business and transmit data in connection with these activities in the flow of interstate commerce.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Defendants have consented to venue and personal jurisdiction in this District. This Court has personal jurisdiction over each Defendant, and venue is proper under Section 12 of the Clayton Act, </w:t>
      </w:r>
      <w:hyperlink r:id="rId14"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28 U.S.C. 1391(b)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THE DEFENDANTS AND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GTCR is a private equity firm headquartered in Chicago, Illinois. GTCR owns Cision, a leading public relations workflow software company. Cision's U.S. revenues were approximately $ 227 million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UBM is a global events marketing and communications services business headquartered in St. Helier, Jersey. UBM owns the PR Newswire business, a leading provider of commercial newswire services. PR Newswire's 2015 U.S. revenues totaled approximately $ 209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Pursuant to a Purchase and Sale Agreement dated December 14, 2015, PWW--a subsidiary of GTCR--agreed to acquire PR Newswire from UBM for a base purchase price of $ 850 million. The transaction would result in GTCR becoming the new owner of Agility, eliminating it as an independent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in the media contact database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TRADE AND COMMERCE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Relevant Product Market: Media Contact Databases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Media contact databases enable users to look up the contact information of one or more of the following classes of persons: Print journalists, broadcast journalists, online journalists, other journalists, or other "influencers"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individuals that are influential on social media with respect to a given topic). Media contact databases typically also enable users to create customized lists of contacts they can then use for targeting outreach to particular groups of journalists and influencers important to the users. Customers typically purchase annual subscriptions to media contact databases at prices individually negotiated with public relations workflow software companies.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Media contact databases are essential to the day-to-day operations of many large companies and public relations agencies. Those organizations frequently need to maintain contact with a large number of journalists and influencers across a wide variety of media outlets. For such organizations, manually maintaining up-to-date lists of all relevant media contacts would be highly labor-intensive and imprecise. Thus, that approach does not present a viable alternative to purchasing access to a media contact database. On the other hand, Cision and PR Newswire have developed longstanding and collaborative relationships with media outlets that they can leverage to more efficiently update their media contact databases. They also have sizable user bases on which they can rely to identify and flag out-of-date contact information in their media contact databases.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Developing and maintaining a media contact database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with those offered by the three companies with more than a de minimis share would be highly costly and labor-intensive. To develop such a database, it would be necessary to compile contact information for at least several hundred thousand media contacts. In addition, after compiling that information, a media contact database company would need to incur significant ongoing costs to update that information frequently to ensure its accuracy.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Media contact databases constitute a relevant product market and line of commerce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GTCR, through Cision, and UBM, through PR Newswire, are participants in this market.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Relevant Geographic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 relevant geographic market is the United States. Customers in the United States generally require a database that provides comprehensive coverage of U.S.-based media contacts and value a domestic presence for sales, service, and support. A hypothetical monopolist of databases with U.S. based-media contacts and a U.S. presence would be able profitably to impose small but significant and non-transitory price increases on customers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Anticompetitive Effects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Customers in the United States have few effective choices for media contact databases. For many customers, there are only three media contact databases with sufficiently robust and up-to-date coverage of U.S.-based media contacts to meet their public relations needs. The transaction will merge two of those databases and will thus be a "merger to duopoly" for those customers, leaving Cision as one of only two bidders they would seriously consider. Although there are nominally other media contact databases, they serve a very small segment of the market and lack sufficient coverage to satisfy many customers' public relations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The elimination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Agility would substantially reduce the two remaining bidders' incentives to offer lower prices, better services, or better products to win business from prospective customers. Consumers in the United States will likely experience higher prices, worse services, and inferior products as a result. Moreover, many customers for whom only two media contact database options will remain in the market after the transaction will be vulnerable to anticompetitive effects resulting from coordinated interaction. The two remaining companies could identify customers with limited options, and the resultant coordinated interaction could keep prices high, quality low, and innovation diminished for such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In addition, Agility plays a unique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role in the marketplace. As an aggressive, frequently low-cost bidder for contracts with prospective media contact database customers, Agility pressures its two rivals to lower </w:t>
      </w:r>
      <w:r>
        <w:rPr>
          <w:rFonts w:ascii="arial" w:eastAsia="arial" w:hAnsi="arial" w:cs="arial"/>
          <w:b/>
          <w:i w:val="0"/>
          <w:strike w:val="0"/>
          <w:noProof w:val="0"/>
          <w:color w:val="000000"/>
          <w:position w:val="0"/>
          <w:sz w:val="20"/>
          <w:u w:val="none"/>
          <w:vertAlign w:val="baseline"/>
        </w:rPr>
        <w:t> [*39959] </w:t>
      </w:r>
      <w:r>
        <w:rPr>
          <w:rFonts w:ascii="arial" w:eastAsia="arial" w:hAnsi="arial" w:cs="arial"/>
          <w:b w:val="0"/>
          <w:i w:val="0"/>
          <w:strike w:val="0"/>
          <w:noProof w:val="0"/>
          <w:color w:val="000000"/>
          <w:position w:val="0"/>
          <w:sz w:val="20"/>
          <w:u w:val="none"/>
          <w:vertAlign w:val="baseline"/>
        </w:rPr>
        <w:t xml:space="preserve"> their bid prices or risk losing substantial numbers of customers. No such constraint will remain after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Cision currently has a dominant share of the media contact database market in the United States. The transaction would further enhance its market position and bargaining power with many customers. Accordingly, the transaction increases the likelihood that Cision could profitably exercise its market power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Due to the costs of developing and updating a media contact database with information for at least several hundred thousand media contacts, it is unlikely that entry or expansion into the media contact database market in the United States would be timely, likely, or sufficient to defeat the likely anticompetitive effects of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Moreover, Cision and PR Newswire's positions in the marketplace have afforded them advantages unavailable to most new entrants. It would take an extensive period of time for a new entrant to build relationships with media outlets, to build its reputation among purchasers, and to grow its user base to be comparable to the Defendants' offerings.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VIOLATION ALLEGED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The United States hereby incorporates paragraphs 1 through 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The transaction would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national market for media contact databases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Unless enjoined, the transaction would likely have the following anticompetitive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development, provision, and sale of media contact databases in the United States will likely be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prices for media contact databases will likely increase;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innovation and quality of media contact databases will likely decrease.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The United States requests that this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adjudge and decree that the transaction violates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permanently enjoin and restrain Defendants and all persons acting on their behalf from carrying out the transaction, or entering into any other agreement, understanding, or plan by which PR Newswire would be acquired by GTCR, Cision, or any affiliated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award the United States its costs in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award the United States such other and further relief as may be just and proper.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10,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Renata B. Hesse (D.C. Bar #466107)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Principal Deputy Assistant Attorney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 Scheele (D.C. Bar #429061)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Chief, Telecommunications &amp; Media Enforcement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M. Frankel (D.C. Bar #441532)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Chief, Telecommunications &amp; Media Enforcement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 Justl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E. Marshall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Jones (D.C. Bar #1006602)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Trial Attorneys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Telecommunications &amp; Media Enforcement Section, 450 Fifth Street NW., Suite 7000, Washington, DC 20530, Phone: 202-598-8164, Facsimile: 202-514-6381, E-mail: </w:t>
      </w:r>
      <w:hyperlink r:id="rId16" w:history="1">
        <w:r>
          <w:rPr>
            <w:rFonts w:ascii="arial" w:eastAsia="arial" w:hAnsi="arial" w:cs="arial"/>
            <w:b w:val="0"/>
            <w:i/>
            <w:strike w:val="0"/>
            <w:noProof w:val="0"/>
            <w:color w:val="0077CC"/>
            <w:position w:val="0"/>
            <w:sz w:val="20"/>
            <w:u w:val="single"/>
            <w:vertAlign w:val="baseline"/>
          </w:rPr>
          <w:t>jonathan.justl@usdoj.gov</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Attorney of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 Plaintiff,</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GTCR Fund X/A AIV LP, Cision US Inc., UBM PLC, PRN Delaware, Inc.,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PWW Acquisition LLC,</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1:16-cv-01091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Thomas F.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06/10/2016</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("United States"),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 GTCR Fund X/A AIV LP ("GTCR"), through its subsidiary Defendant PWW Acquisition LLC ("PWW"), and Defendant UBM plc ("UBM") entered into a Purchase and Sale Agreement, dated December 14, 2015, pursuant to which GTCR intends to acquire PR Newswire from UBM for $ 850 million. 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June 10, 2016, seeking to enjoin the proposed acquisition. The Complaint alleges that the proposed acquisition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media contact database market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This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would likely result in customers paying higher prices for media contact databases and receiving lower quality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same time the Complaint was filed, the United States also filed a Hold Separate Stipulation and Order ("Hold Separate Order") and proposed Final Judgment, which are designed to eliminate the anticompetitive effects of the acquisition. Under the proposed Final Judgment, which is explained more fully below, Defendants are required to divest PR Newswire's business of providing the Agility and Agility Plus-branded public relations workflow software to customers located in the United States and the United Kingdom (the "Agility Business" or "Agility"). Under the terms of the Hold Separate Order, Defendants will take certain steps to ensure that the Agility Business is operated as a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independent, economically viable and ongoing business concern, that the Agility Business will remain independent and uninfluenced by the consummation of the acquisition,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during the pendency of the ordered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Defendants and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GTCR is a private equity firm headquartered in Chicago, Illinois. GTCR owns Defendant Cision US Inc. ("Cision"), a leading public relations workflow software company. Cision's U.S. revenues were approximately $ 227 million in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UBM is a global events marketing and communications services business headquartered in St. Helier, Jersey. UBM owns the PR Newswire business, a leading provider of commercial newswire services. PR Newswire's 2015 U.S. revenues totaled approximately $ 209 million. </w:t>
      </w:r>
      <w:r>
        <w:rPr>
          <w:rFonts w:ascii="arial" w:eastAsia="arial" w:hAnsi="arial" w:cs="arial"/>
          <w:b/>
          <w:i w:val="0"/>
          <w:strike w:val="0"/>
          <w:noProof w:val="0"/>
          <w:color w:val="000000"/>
          <w:position w:val="0"/>
          <w:sz w:val="20"/>
          <w:u w:val="none"/>
          <w:vertAlign w:val="baseline"/>
        </w:rPr>
        <w:t> [*39960]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Cision is the dominant media contact database provider the United States through its flagship public relations workflow software suite. n1 Pursuant to the proposed transaction, GTCR will acquire UBM's PR Newswire business, which through Agility is the third-largest media contact database provider in the United States. The proposed acquisition would eliminate PR Newswire as an independent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and further enhance Cision's dominant position in the media contact database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"Public relations workflow software" refers to software that a developer has designed for the purpose of enabling users to identify media contacts, monitor media coverage, and/or analyze a media campaign's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acquisition, as initially agreed to by Defendants on December 14, 2015, would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substantially in the media contact database market in the United States. This acquisition is the subject of the Complaint and proposed Final Judgment filed today by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Effects of the Transaction in the Media Contact Database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Relevant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Media contact databases enable users to look up the contact information for journalists and other "influencers"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individuals that are influential on social media with respect to a given topic). Media contact databases typically also enable users to create customized lists of contacts they can use for targeting outreach to particular groups of journalists and influencers important to the users. Customers usually purchase annual subscriptions to media contact databases at prices individually negotiated with public relations workflow software companies.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Media contact databases are essential to the day-to-day operations of many large companies and public relations agencies. These organizations often need to maintain contact with a large number of journalists and influencers across a wide variety of media outlets. For such organizations, manually maintaining up-to-date lists of all relevant media contacts would be highly labor intensive and imprecise. Thus, for these organizations, manually maintaining media contacts is not a viable alternative to purchasing access to a media contact database. For these reasons, the Complaint alleges that media contact databases constitute a relevant product market and line of commerce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Complaint further alleges that the relevant geographic market is the United States. Customers in the United States generally require a database that provides comprehensive coverage of U.S.-based media contacts and value a domestic presence for sales, service, and support. According to the Complaint, a hypothetical monopolist of databases with U.S.-based media contacts and a U.S. presence would be able profitably to impose small but significant and non-transitory price increases on customers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Proposed Acquisition Would Produce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Complaint, customers in the United States have few meaningful choices for media contact databases. For many customers, only Cision, PR Newswire (through Agility), and a third firm provide media contact databases with sufficiently robust and up-to-date coverage of U.S.-based media contacts to meet their public relations needs. The proposed acquisition will be a "merger to duopoly" for these customers, leaving Cision--which is already the dominant provider in the market--as one of only two bidders they would seriously consider. Although there are other nominal providers of media contact databases, these firms serve a very small segment of the market and lack sufficient coverage to meet many customers' needs.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elimination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Agility would substantially reduce the two remaining bidders' incentives to offer lower prices, better services, or better products to win business from prospective customers. As alleged in the Complaint, prior to the proposed acquisition, Agility was an aggressive, frequently low-cost bidder for contracts with prospective media contact database customers, and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from Agility will likely result in higher prices, worse services, and inferior products. In addition, the overall reduction in significant media contact database providers from three to two will leave many customers vulnerable to anticompetitive effects resulting from coordinated interaction. Cision and the other remaining firm could identify customers with limited options and, through coordinated interaction, raise those customers' prices and reduce the quality of services that they receive.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Timely Entry Is Unlikely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Due to the costs of developing and updating a media contact database with information for at least several hundred thousand media contacts, the Complaint alleges that it is unlikely that entry or expansion into the media contact database market in the United States would be timely, likely, or sufficient to defeat the likely anticompetitive effects of the proposed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Cision and PR Newswire's positions in the marketplace have afforded them advantages unavailable to most new entrants. Over the years, Cision and PR Newswire have developed longstanding and collaborative relationships with media outlets that they can leverage to more efficiently update their media contact databases. They also have sizable user bases on which they can rely to identify and flag out-of-date contact information in their media contact databases. It would take an extensive period of time for a new entrant to build such relationships with media outlets, to build its reputation among purchasers, and to grow its user base to be comparable to the Defendants' offerings.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Divestiture of the Agility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 requirement of the proposed Final Judgment will eliminate the anticompetitive effects of the transaction in the media contact database market in the United States by maintaining Agility as an independent, economically viable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The proposed Final Judgment requires Defendants to divest Agility to Innodata Inc. ("Innodata") or another acquirer acceptable to the United States in its sole discretion. Pursuant to Paragraph IV.A, Defendants' divestiture of Agility must be completed within thirty (30) calendar days after (i) the signing of the Hold Separate Order, or (ii) consummation of the transaction, whichever is later. The United States may, in its sole discretion, agree to one or more extensions of this time period not to exceed 90 calendar days in total.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"Divestiture Assets" are defined in Paragraph II.D of the proposed Final Judgment to cover all tangible assets comprising the Agility Business and all intangible assets used in the development, marketing, and provision of public relations workflow software by the Agility Business. Those assets include all of Agility's contracts with customers whose primary location is inside the United States or the United Kingdom, and all of Agility's intellectual property. n2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divestiture assets do not include, however, contracts with Agility customers whose primary location is outside the United States and the United Kingdom, or certain assets that PR Newswire used for non-Agility products, such as PR Newswire's Oracle Enterprise Single Sign-On user authentication system and leases for real property used by both the Agility Business and other PR Newswire businesses. Thus, Defendants will be able to retain back-office systems or other assets and contracts used at the corporate level to support their remaining operations, and which an acquirer could supply for itself. In addition, inclusion of U.K. customers, along with U.S. customers, will give the divestiture buyer greater scale. </w:t>
      </w:r>
      <w:r>
        <w:rPr>
          <w:rFonts w:ascii="arial" w:eastAsia="arial" w:hAnsi="arial" w:cs="arial"/>
          <w:b/>
          <w:i w:val="0"/>
          <w:strike w:val="0"/>
          <w:noProof w:val="0"/>
          <w:color w:val="000000"/>
          <w:position w:val="0"/>
          <w:sz w:val="20"/>
          <w:u w:val="none"/>
          <w:vertAlign w:val="baseline"/>
        </w:rPr>
        <w:t> [*39961]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Pursuant to Paragraph IV.I of the proposed Final Judgment, the assets must be divested in such a way as to satisfy the United States in its sole discretion that the operations can and will be operated by the purchaser as a viable, ongoing business that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relevant market. To this end, the Defendants must divest the entire Agility Business, including the media contact database as well as the other Agility software modules, as the media contact database is often sold with these other modules as part of an integrated suite. Defendants must take all reasonable steps necessary to accomplish the divestiture quickly and shall cooperate with prospective purchasers.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Paragraph IV.G of the proposed Final Judgment gives the purchaser of the Divestiture Assets the right to require Defendants to enter into a transition services agreement. This provision is designed to ensure that the purchaser can obtain any transitional services necessary to facilitate continuous operation of the divested assets until the purchaser can provide such capabilities independently.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Defendants do not accomplish the divestiture within the periods prescribed in the proposed Final Judgment, Section V of the proposed Final Judgment provides that the Court will appoint a trustee selected by the United States to effect the divestiture. If a trustee is appointed, the proposed Final Judgment provides that Defendants will pay all costs and expenses of the trustee. The trustee's commission will be structured so as to provide an incentive for the trustee based on the price obtained and the speed with which the divestiture is accomplished. After his or her appointment becomes effective, the trustee will file monthly reports with the Court and the United States setting forth his or her efforts to accomplish the divestiture. At the end of six months after the trustee's appointment, if the divestiture has not been accomplished, the trustee and the United States will make recommendations to the Court, which shall enter such orders as appropriate, in order to carry out the purpose of the trust, including extending the trust or the term of the trustee's 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divestiture provisions of the proposed Final Judgment will eliminate the anticompetitive effects of the acquisition in the provision of media contact databases in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Notification of Future Transactions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XI of the proposed Final Judgment requires Cision, Defendant PRN Delaware, Inc., and GTCR, during any period in which GTCR or its related entities have a direct or indirect controlling ownership interest or certain management rights in Cision (collectively, the "Operating Defendants"), to provide advanced notification of certain transactions not otherwise subject to the reporting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as amended, </w:t>
      </w:r>
      <w:hyperlink r:id="rId17"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(the "HSR Act"). Specifically, the Operating Defendants shall not acquire any assets of or any interest in any provider of public relations workflow software during the term of the Final Judgment without providing notification to the United States at least thirty (30) calendar days in advance of the transaction. Section XI then provides for waiting periods and opportunities for the United States to obtain additional information similar to the provisions of the HSR Act before such transactions can be consummated. This provision is intended to inform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transactions that may raise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similar to those remedied here and to provide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with the opportunity, if needed, to seek effective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Hold Separate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connection with the proposed Final Judgment, Defendants have agreed to the terms of a Hold Separate Order, which is intended to ensure that the Divestiture Assets are operated as a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independent and economically viable ongoing business concern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during the pendency of the ordered divestiture. Sections V(A)-(B) of the Hold Separate Order specify that the Divestiture Assets will be maintained as separate viable businesses and that Operating Defendants' employees will not gain access to the books and records or the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sales, marketing and pricing information of or be involved in decision-making related to the Divestiture Assets prior to divestiture. Sections V(C)-(E) further require that Defendants use all reasonable efforts to maintain and increase the sales and revenues of the Divestiture Assets and that they provide sufficient working capital and credit to maintain the condition and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Divestiture Assets.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8"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Internet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should be submitted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 Scheele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 Telecommunications and Media Enforcement Section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United States Department of Justice </w:t>
      </w:r>
      <w:r>
        <w:rPr>
          <w:rFonts w:ascii="arial" w:eastAsia="arial" w:hAnsi="arial" w:cs="arial"/>
          <w:b/>
          <w:i w:val="0"/>
          <w:strike w:val="0"/>
          <w:noProof w:val="0"/>
          <w:color w:val="000000"/>
          <w:position w:val="0"/>
          <w:sz w:val="20"/>
          <w:u w:val="none"/>
          <w:vertAlign w:val="baseline"/>
        </w:rPr>
        <w:t> [*39962]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5th Street NW., Suite 7000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United States could have continued the litigation and sought preliminary and permanent injunctions against consummation of the proposed transaction. The United States is satisfied, however, that the divestiture of assets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media contact database market in the United States. Thus, the proposed Final Judgment would achieve all or substantially all of the relief the United States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0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 &amp; (B). In considering these statutory factors, the court's inquiry is necessarily a limited one as the government is entitled to "broad discretion to settle with the defendant within the reaches of the public interest." </w:t>
      </w:r>
      <w:hyperlink r:id="rId19"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generally </w:t>
      </w:r>
      <w:hyperlink r:id="rId20"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w:t>
      </w:r>
      <w:hyperlink r:id="rId21"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(explaining that the "court's inquiry is limited" in Tunney Act settlements); </w:t>
      </w:r>
      <w:hyperlink r:id="rId22" w:history="1">
        <w:r>
          <w:rPr>
            <w:rFonts w:ascii="arial" w:eastAsia="arial" w:hAnsi="arial" w:cs="arial"/>
            <w:b w:val="0"/>
            <w:i/>
            <w:strike w:val="0"/>
            <w:noProof w:val="0"/>
            <w:color w:val="0077CC"/>
            <w:position w:val="0"/>
            <w:sz w:val="20"/>
            <w:u w:val="single"/>
            <w:vertAlign w:val="baseline"/>
          </w:rPr>
          <w:t>United States v. InBev N.V./S.A., No. 08-1965 (JR), 2009-2 Trade Cas. (CCH) [paragraph] 76,736,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n3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things, the relationship between the remedy secured and the specific allegations set forth in the government's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9"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With respect to the adequacy of the relief secured by the decree, a court may not "engage in an unrestricted evaluation of what relief would best serve the public." </w:t>
      </w:r>
      <w:hyperlink r:id="rId23"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4"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4"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n4 In determining whether a proposed settlement is in the public interest, a district court "must accord deference to the government's predictions about the efficacy of its remedies, and may not require that the remedies perfectly match the alleged violations."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6"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(noting that the court should grant due respect to the United States'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 xml:space="preserve">Cf. </w:t>
      </w:r>
      <w:hyperlink r:id="rId23"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7"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7" w:history="1">
        <w:r>
          <w:rPr>
            <w:rFonts w:ascii="arial" w:eastAsia="arial" w:hAnsi="arial" w:cs="arial"/>
            <w:b w:val="0"/>
            <w:i/>
            <w:strike w:val="0"/>
            <w:noProof w:val="0"/>
            <w:color w:val="0077CC"/>
            <w:position w:val="0"/>
            <w:sz w:val="20"/>
            <w:u w:val="single"/>
            <w:vertAlign w:val="baseline"/>
          </w:rPr>
          <w:t>United States v. Gillette Co., 406 F. Supp. at 716),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8"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room must be made for the government to grant concessions in the negotiation process for settlements (citing </w:t>
      </w:r>
      <w:hyperlink r:id="rId20" w:history="1">
        <w:r>
          <w:rPr>
            <w:rFonts w:ascii="arial" w:eastAsia="arial" w:hAnsi="arial" w:cs="arial"/>
            <w:b w:val="0"/>
            <w:i/>
            <w:strike w:val="0"/>
            <w:noProof w:val="0"/>
            <w:color w:val="0077CC"/>
            <w:position w:val="0"/>
            <w:sz w:val="20"/>
            <w:u w:val="single"/>
            <w:vertAlign w:val="baseline"/>
          </w:rPr>
          <w:t>SBC Commc'ns, 489 F. Supp. 2d at 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may have imposed a greater remedy). To meet this standard, the United States "need only provide a factual basis for concluding that the settlements are reasonably adequate remedies for the alleged harms." </w:t>
      </w:r>
      <w:hyperlink r:id="rId20"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9"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(noting that the court must simply determine whether there is a factual foundation for the government's decisions such that its conclusions regarding the proposed settlements are reasonable); </w:t>
      </w:r>
      <w:hyperlink r:id="rId22"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9"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0"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1"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(indicating that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0"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n5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1"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 xml:space="preserve">See </w:t>
      </w:r>
      <w:hyperlink r:id="rId29"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(noting that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0" w:history="1">
        <w:r>
          <w:rPr>
            <w:rFonts w:ascii="arial" w:eastAsia="arial" w:hAnsi="arial" w:cs="arial"/>
            <w:b w:val="0"/>
            <w:i/>
            <w:strike w:val="0"/>
            <w:noProof w:val="0"/>
            <w:color w:val="0077CC"/>
            <w:position w:val="0"/>
            <w:sz w:val="20"/>
            <w:u w:val="single"/>
            <w:vertAlign w:val="baseline"/>
          </w:rPr>
          <w:t>CV-681-W-1, 1977-1 Trade Cas. (CCH) [paragraph] 61,508, 1977 U.S. Dist. LEXIS 15858,</w:t>
        </w:r>
      </w:hyperlink>
      <w:r>
        <w:rPr>
          <w:rFonts w:ascii="arial" w:eastAsia="arial" w:hAnsi="arial" w:cs="arial"/>
          <w:b w:val="0"/>
          <w:i w:val="0"/>
          <w:strike w:val="0"/>
          <w:noProof w:val="0"/>
          <w:color w:val="000000"/>
          <w:position w:val="0"/>
          <w:sz w:val="20"/>
          <w:u w:val="none"/>
          <w:vertAlign w:val="baseline"/>
        </w:rPr>
        <w:t xml:space="preserve"> at *22 (W.D. Mo.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June 10,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M. Justl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Brent E. Marshall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Jones (D.C. Bar #1006602)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Trial Attorneys,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Telecommunications &amp; Media Enforcement Section, 450 Fifth Street NW., Suite 7000, Washington, DC 20530, Phone: 202-598-8164, Facsimile: 202-514-6381 E-mail: </w:t>
      </w:r>
      <w:hyperlink r:id="rId16" w:history="1">
        <w:r>
          <w:rPr>
            <w:rFonts w:ascii="arial" w:eastAsia="arial" w:hAnsi="arial" w:cs="arial"/>
            <w:b w:val="0"/>
            <w:i/>
            <w:strike w:val="0"/>
            <w:noProof w:val="0"/>
            <w:color w:val="0077CC"/>
            <w:position w:val="0"/>
            <w:sz w:val="20"/>
            <w:u w:val="single"/>
            <w:vertAlign w:val="baseline"/>
          </w:rPr>
          <w:t>jonathan.justl@usdoj.gov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Attorney of Record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GTCR Fund X/A AIV LP, Cision US Inc., UBM PLC, PRN Delaware, Inc.,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PWW Acquisition LLC,</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Case No.: 1:16-cv-01091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Thomas F. Hogan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Filed: 06/10/2016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 United States of America, filed its Complaint on June ___, 2016, and the United States and Defendants GTCR Fund X/A AIV LP, Cision US Inc., UBM plc, PRN Delaware, Inc., and PWW Acquisition LLC (collectively, "Defendants"),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essence of this Final Judgment is the prompt and certain divestiture of certain rights or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United States requires Defendants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have represented to the United States that the divestitures required below can and will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has jurisdiction over the subject matter of and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"Acquirer" means Innodata or another entity to whom Defendants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"Agility Business" means the business of providing the Agility and Agility Plus-branded Public Relations Workflow Software to customers located in the United States and the United Kingdom. For the avoidance of doubt, the Agility Business does not include other products and services offered by PRN prior to the Transaction (including press release distribution, Vintage filings, MediaVantage, Profnet, or content production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"Cision" means defendant Cision US Inc., a Delaware corporation with its headquarters in Chicago, Illinois; its successors and assigns; its subsidiaries, </w:t>
      </w:r>
      <w:r>
        <w:rPr>
          <w:rFonts w:ascii="arial" w:eastAsia="arial" w:hAnsi="arial" w:cs="arial"/>
          <w:b/>
          <w:i w:val="0"/>
          <w:strike w:val="0"/>
          <w:noProof w:val="0"/>
          <w:color w:val="000000"/>
          <w:position w:val="0"/>
          <w:sz w:val="20"/>
          <w:u w:val="none"/>
          <w:vertAlign w:val="baseline"/>
        </w:rPr>
        <w:t> [*39964] </w:t>
      </w:r>
      <w:r>
        <w:rPr>
          <w:rFonts w:ascii="arial" w:eastAsia="arial" w:hAnsi="arial" w:cs="arial"/>
          <w:b w:val="0"/>
          <w:i w:val="0"/>
          <w:strike w:val="0"/>
          <w:noProof w:val="0"/>
          <w:color w:val="000000"/>
          <w:position w:val="0"/>
          <w:sz w:val="20"/>
          <w:u w:val="none"/>
          <w:vertAlign w:val="baseline"/>
        </w:rPr>
        <w:t xml:space="preserve">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"Divestiture Assets" means the Agility Business, including: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All tangible assets that comprise the Agility Business, including research and development activities; all fixed assets, personal property, inventory, office furniture, materials, supplies, and other tangible property and all assets used exclusively in connection with the Agility Business; all licenses, permits, and authorizations issued by any governmental organization relating to the Agility Business; all contracts, teaming arrangements, agreements, leases, commitments, certifications, and understandings relating to the Agility Business, including supply agreements; all customer lists, contracts, accounts, and credit records; all repair and performance records; and all other records relating to the Agility Business;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All intangible assets used in the development, marketing, and provision of Public Relations Workflow Software by the Agility Business, including, but not limited to all patents, licenses and sublicenses, intellectual property, copyrights, trademarks, trade names, service marks, service names, technical information, computer software and related documentation, know how, trade secrets, drawings, blueprints, designs, design protocols, quality assurance and control procedures, design tools and simulation capability, all manuals and technical information Defendants provide to their own employees, customers, suppliers, agents or licensees, and all research data concerning historic and current research and development efforts relating to the Agility Business, including, but not limited to designs of developmental versions, and the results of successful and unsuccessful designs and developmental versions;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Provided, however, that the Divestiture Assets do not include contracts with Agility customers whose primary location is outside the United States and the United Kingdom; PR Newswire's Oracle Enterprise Single Sign-On user authentication system; PR Newswire's Sendmail Web Service for third-party email distribution; PR Newswire's Avalanche application platform; PR Newswire's IT infrastructure, intellectual property, software, content, and data that comprise PR Newswire's businesses other than the Agility Business; leases for real property used by both the Agility Business and other PR Newswire businesses; and senior-level PRN employees who oversee the Agility Business but who also have responsibilities for other PRN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"GTCR" means defendant GTCR Fund X/A AIV LP, a limited partnership with its headquarters in Chicago, Illinois; its successors and assigns;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"Innodata" means Innodata Inc., a Delaware corporation with its headquarters in Hackensack, New Jersey; its successors and assigns;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"Operating Defendants" means Cision and PRN. "Operating Defendants" also means GTCR during any period in which GTCR or its subsidiaries, divisions, groups, affiliates, partnerships, joint ventures, directors, officers, managers, agents, and employees, either individually or in any combination, have a direct or indirect controlling ownership interest or any management role in Cision or have the right to appoint one or more members of Cision's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"PRN" means defendant PRN Delaware, Inc., a Delaware corporation with its headquarters in New York, New York; its successors and assigns;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 Newswire" means the PR Newswire business that PWW will acquire from UBM pursuant to a definitive agreement dated December 14, 2015, including PRN, its foreign PR Newswire affiliates, and certain other assets and liabilities specified in the definitive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"Public Relations Workflow Software" means software that a developer has designed for the purpose of enabling users to identify media contacts, monitor media coverage, and/or analyze a media campaign's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"PWW" means defendant PWW Acquisition, LLC, a limited liability company with its headquarters in Chicago,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"Transaction" means the transaction sought to be enjoined by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"UBM" means defendant UBM plc, a public limited company with its headquarters in St. Helier, Jersey; its successors and assigns;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GTCR, Cision, UBM, PRN, and PWW, as defined above and as set forth herein,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 IV and V of this Final Judgment, Defendants sell or otherwise dispose of all or substantially all of their assets or of lesser business units that include the Divestiture Assets, they shall require the purchaser to be bound by the provisions of this Final Judgment. Defendants need not obtain such an agreement from the Acquirer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thirty (30) calendar days after (i) the signing of the Hold Separate Stipulation and Order in this matter, or (ii) consummation of the Transaction, whichever is later, to divest the Divestiture Assets in a manner consistent with this Final Judgment to an Acquirer acceptable to the United States, in its sole discretion. The United States, in its sole discretion, may agree to one or more extensions of this time period not to exceed ninety (90) calendar days in total, and shall notify the Court in such circumstances. Defendants agree to use their best efforts to divest the Divestiture Assets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In the event Operating Defendants are attempting to divest the Divestiture Assets to an Acquirer other than Innodata, Operating Defendants promptly shall make known, by usual and customary means, the availability of the Divestiture Assets. Defendants shall inform any person making inquiry regarding a possible purchase of the Divestiture Assets that they are being divested pursuant to this Final Judgment and provide that person with a copy of this Final Judgment. Defendants shall offer to furnish to all prospective Acquirers, subject to customary confidentiality assurances, all information and documents relating to the Divestiture Assets customarily provided in a due diligence process except such information or documents subject to the attorney-client privileges or work-product doctrine. Defendants shall make available such information to the United States at the same time that such information is made available to any other person. </w:t>
      </w:r>
      <w:r>
        <w:rPr>
          <w:rFonts w:ascii="arial" w:eastAsia="arial" w:hAnsi="arial" w:cs="arial"/>
          <w:b/>
          <w:i w:val="0"/>
          <w:strike w:val="0"/>
          <w:noProof w:val="0"/>
          <w:color w:val="000000"/>
          <w:position w:val="0"/>
          <w:sz w:val="20"/>
          <w:u w:val="none"/>
          <w:vertAlign w:val="baseline"/>
        </w:rPr>
        <w:t> [*39965]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provide the Acquirer and the United States information relating to the personnel involved in the production, operation, development and sale of the Divestiture Assets to enable the Acquirer to make offers of employment. Defendants will not interfere with any negotiations by the Acquirer to employ any defendant employee whose primary responsibility is the production, operation, development or sale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permit prospective Acquirers of the Divestiture Assets to have reasonable access to personnel and to make inspections of the physical facilities of the Divestiture Assets; access to any and all environmental, zoning,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Operating Defendants shall warrant to the Acquirer that each asset will be operational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not take any action that will impede in any way the permitting, operation, or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At the option of the Acquirer and subject to the approval of the United States in its sole discretion, Defendants shall enter into contracts with the Acquirer for any transitional services that may be necessary to facilitate continuous operation of the Divestiture Assets until the Acquirer can provide such capabilities independently.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Operating Defendants shall warrant to the Acquirer that there are no material defects in the environmental, zoning or other permits pertaining to the operation of each asset, and that following the sale of the Divestiture Assets, Defendants will not undertake, directly or indirectly, any challenges to the environmental, zoning, or other permits relating to the operation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Unless the United States otherwise consents in writing, the divestiture pursuant to Section IV, or by Divestiture Trustee appointed pursuant to Section V, of this Final Judgment, shall include the entire Divestiture Assets, and shall be accomplished in such a way as to satisfy the United States, in its sole discretion, that the Divestiture Assets can and will be used by the Acquirer as part of a viable, ongoing Public Relations Workflow Software business. The divestitures, whether pursuant to Section IV or Section V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an Acquirer that, in the United States' sole judgment, has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Public Relations Workflow Software business;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an Acquirer and Defendants give Defendants the ability unreasonably to raise the Acquirer's costs, to lower the Acquirer's efficiency, or otherwise to interfere in the ability of the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Appointment of Divestiture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Operating Defendants have not divested the Divestiture Assets within the time period specified in Section IV.A., Operating Defendants shall notify the United States of that fact in writing. Upon application of the United States, the Court shall appoint a Divestiture Trustee selected by the United States and approved by the Court to effect the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a Divestiture Trustee becomes effective, only the Divestiture Trustee shall have the right to sell the Divestiture Assets. The Divestiture Trustee shall have the power and authority to accomplish the divestiture to an Acquirer acceptable to the United States at such price and on such terms as are then obtainable upon reasonable effort by the Divestiture Trustee, subject to the provisions of Sections IV, V, and VI of this Final Judgment, and shall have such other powers as this Court deems appropriate. Subject to Section V.D. of this Final Judgment, the Divestiture Trustee may hire at the cost and expense of Operating Defendants any investment bankers, attorneys, or other agents, who shall be solely accountable to the Divestiture Trustee, reasonably necessary in the Divestiture Trustee's judgment to assist in the divestiture.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Divestiture Trustee on any ground other than the Divestiture Trustee's malfeasance. Any such objections by Defendants must be conveyed in writing to the United States and the Divestiture Trustee within ten (10) calendar days after the Divestiture Trustee has provided the notice required under Section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Divestiture Trustee shall serve at the cost and expense of Operating Defendants pursuant to a written agreement, on such terms and conditions as the United States approves including confidentiality requirements and conflict of interest certifications. The Divestiture Trustee shall account for all monies derived from the sale of the assets sold by the Divestiture Trustee and all costs and expenses so incurred. After approval by the Court of the Divestiture Trustee's accounting, including fees for its services yet unpaid and those of any professionals and agents retained by the Divestiture Trustee, all remaining money shall be paid to Operating Defendants and the trust shall then be terminated. The compensation of the Divestiture Trustee and any professionals and agents retained by the Divestiture Trustee shall be reasonable in light of the value of the Divestiture Assets and based on a fee arrangement providing the Divestiture Trustee with an incentive based on the price and terms of the divestiture and the speed with which it is accomplished, but timeliness is paramount. If the Divestiture Trustee and Operating Defendants are unable to reach agreement on the Divestiture Trustee's or any agents' or consultants' compensation or other terms and conditions of engagement within 14 calendar days of appointment of the Divestiture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Operating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use their best efforts to assist the Divestiture Trustee in accomplishing the required divestiture. The Divestiture Trustee and any consultants, accountants, attorneys, and other agents retained by the Divestiture Trustee shall have full and complete access to the personnel, books, records, and facilities of the business to be divested, and Defendants shall develop financial and other information relevant to such business as the Divestiture Trustee may reasonably request, subject to reasonable protection for trade secret or other confidential research, development, or commercial information or any applicable privileges. Defendants shall take no action to interfere with or to impede the Divestiture Trustee's accomplishment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After its appointment, the Divestiture Trustee shall file monthly reports with the United States and, as appropriate, the Court setting forth the </w:t>
      </w:r>
      <w:r>
        <w:rPr>
          <w:rFonts w:ascii="arial" w:eastAsia="arial" w:hAnsi="arial" w:cs="arial"/>
          <w:b/>
          <w:i w:val="0"/>
          <w:strike w:val="0"/>
          <w:noProof w:val="0"/>
          <w:color w:val="000000"/>
          <w:position w:val="0"/>
          <w:sz w:val="20"/>
          <w:u w:val="none"/>
          <w:vertAlign w:val="baseline"/>
        </w:rPr>
        <w:t> [*39966] </w:t>
      </w:r>
      <w:r>
        <w:rPr>
          <w:rFonts w:ascii="arial" w:eastAsia="arial" w:hAnsi="arial" w:cs="arial"/>
          <w:b w:val="0"/>
          <w:i w:val="0"/>
          <w:strike w:val="0"/>
          <w:noProof w:val="0"/>
          <w:color w:val="000000"/>
          <w:position w:val="0"/>
          <w:sz w:val="20"/>
          <w:u w:val="none"/>
          <w:vertAlign w:val="baseline"/>
        </w:rPr>
        <w:t xml:space="preserve"> Divestiture Trustee's efforts to accomplish the divestiture ordered under this Final Judgment. To the extent such reports contain information that the Divestiture Trustee deems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Divestiture Trustee shall maintain full records of all efforts made to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the Divestiture Trustee has not accomplished the divestiture ordered under this Final Judgment within six months after its appointment, the Divestiture Trustee shall promptly file with the Court a report setting forth (1) the Divestiture Trustee's efforts to accomplish the required divestiture, (2) the reasons, in the Divestiture Trustee's judgment, why the required divestiture has not been accomplished, and (3) the Divestiture Trustee's recommendations. To the extent such report contains information that the Divestiture Trustee deems confidential, such report shall not be filed in the public docket of the Court. The Divestiture Trustee shall at the same time furnish such report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Divestiture Trustee has ceased to act or failed to act diligently or in a reasonably cost-effective manner, it may recommend the Court appoint a substitute Divestiture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Notice of Proposed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Operating Defendants or the Divestiture Trustee, whichever is then responsible for effecting the divestiture required herein, shall notify the United States of any proposed divestiture required by Section IV or V of this Final Judgment. If the Divestiture Trustee is responsible, it shall similarly notify Defendants. The notice shall set forth the details of the proposed divestiture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fifteen (15) calendar days of receipt by the United States of such notice, the United States may request from Defendants, the proposed Acquirer, any other third party, or the Divestiture Trustee, if applicable, additional information concerning the proposed divestiture, the proposed Acquirer, and any other potential Acquirer. Defendants and the Divestiture Trustee shall furnish any additional information requested within fifteen (15) calendar days of the receipt of the request, unless the parties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 any third party, and the Divestiture Trustee, whichever is later, the United States shall provide written notice to Defendants and the Divestiture Trustee, if there is one, stating whether or not it objects to the proposed divestiture. If the United States provides written notice that it does not object, the divestiture may be consummated, subject only to Defendants' limited right to object to the sale under Section V.C. of this Final Judgment. Absent written notice that the United States does not object to the proposed Acquirer or upon objection by the United States, a divestiture proposed under Section IV or Section V shall not be consummated. Upon objection by Defendants under Section V.C., a divestiture proposed under Section V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or V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Hold Separate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 required by this Final Judgment has been accomplished, Defendants shall take all steps necessary to comply with the Hold Separate Stipulation and Order entered by this Court. Defendants shall take no action that would jeopardize the divestiture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 has been completed under Section IV or V, Defendants shall deliver to the United States an affidavit as to the fact and manner of its compliance with Section IV or V of this Final Judgment. Each such affidavit shall include the name, address, and telephone number of each person who, during the preceding thirty (30)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Defendants have taken to solicit buyers for the Divestiture Assets,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 on information, shall be made within fourteen (14) calendar days of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Defendants have taken and all steps Defendants have implemented on an ongoing basis to comply with Section VIII of this Final Judgment.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 has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any Hold Separate Order, or of determining whether the Final Judgment should be modified or vacated, and subject to any legally recognized privilege, from time to time authorized representatives of the United States Department of Justice, including </w:t>
      </w:r>
      <w:r>
        <w:rPr>
          <w:rFonts w:ascii="arial" w:eastAsia="arial" w:hAnsi="arial" w:cs="arial"/>
          <w:b/>
          <w:i w:val="0"/>
          <w:strike w:val="0"/>
          <w:noProof w:val="0"/>
          <w:color w:val="000000"/>
          <w:position w:val="0"/>
          <w:sz w:val="20"/>
          <w:u w:val="none"/>
          <w:vertAlign w:val="baseline"/>
        </w:rPr>
        <w:t> [*39967] </w:t>
      </w:r>
      <w:r>
        <w:rPr>
          <w:rFonts w:ascii="arial" w:eastAsia="arial" w:hAnsi="arial" w:cs="arial"/>
          <w:b w:val="0"/>
          <w:i w:val="0"/>
          <w:strike w:val="0"/>
          <w:noProof w:val="0"/>
          <w:color w:val="000000"/>
          <w:position w:val="0"/>
          <w:sz w:val="20"/>
          <w:u w:val="none"/>
          <w:vertAlign w:val="baseline"/>
        </w:rPr>
        <w:t xml:space="preserve">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responses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a grand jury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such transaction is otherwise subject to the reporting and waiting period requirements of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as amended, </w:t>
      </w:r>
      <w:hyperlink r:id="rId17"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(the "HSR Act"), the Operating Defendants, without providing advance notification to the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shall not directly or indirectly acquire any assets of or any interest, including any financial, security, loan, equity or management interest, in any provider of Public Relations Workflow Software during the term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notification shall be provided to the Department of Justice in the same format as, and per the instructions relating to the Notification and Report Form set forth in the Appendix to Part 803 of Title 16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amended, except that the information requested in Items 5 through 9 of the instructions must be provided only about Public Relations Workflow Software. Notification shall be provided at least thirty (30) calendar days prior to acquiring any such interest, and shall include, beyond what may be required by the applicable instructions, the names of the principal representatives of the parties to the agreement who negotiated the agreement, and any management or strategic plans discussing the proposed transaction. If within the 30-day period after notification, representatives of the Department of Justice make a written request for additional information, the Operating Defendants shall not consummate the proposed transaction or agreement until thirty (30) calendar days after submitting all such additional information. Early termination of the waiting periods in this paragraph may be requested and, where appropriate, granted in the same manner as is applicable under the requirements and provisions of the HSR Act and rules promulgated thereunder. This Section shall be broadly construed and any ambiguity or uncertainty regarding the filing of notice under this Section shall be resolved in favor of filing notice.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Operating Defendants may not reacquire any part of the Divestiture Assets during the term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retains jurisdiction to enable any party to this Final Judgment to apply to this Court at any time for further orders and directions as may be necessary or appropriate to carry out or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2016-14497 Filed 6-17-16;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39957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mailto:jonathan.justl@usdoj.gov" TargetMode="External" /><Relationship Id="rId17" Type="http://schemas.openxmlformats.org/officeDocument/2006/relationships/hyperlink" Target="https://advance.lexis.com/api/document?collection=statutes-legislation&amp;id=urn:contentItem:4YF7-GNJ1-NRF4-451X-00000-00&amp;context=" TargetMode="External" /><Relationship Id="rId18" Type="http://schemas.openxmlformats.org/officeDocument/2006/relationships/hyperlink" Target="https://advance.lexis.com/api/document?collection=statutes-legislation&amp;id=urn:contentItem:4YF7-GTP1-NRF4-44B7-00000-00&amp;context=" TargetMode="External" /><Relationship Id="rId19" Type="http://schemas.openxmlformats.org/officeDocument/2006/relationships/hyperlink" Target="https://advance.lexis.com/api/document?collection=cases&amp;id=urn:contentItem:3RTP-83N0-001T-D0C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NCK-65B0-TVT3-D3DR-00000-00&amp;context=" TargetMode="External" /><Relationship Id="rId21" Type="http://schemas.openxmlformats.org/officeDocument/2006/relationships/hyperlink" Target="https://advance.lexis.com/api/document?collection=cases&amp;id=urn:contentItem:5C2F-7GX1-F04C-Y0FY-00000-00&amp;context=" TargetMode="External" /><Relationship Id="rId22" Type="http://schemas.openxmlformats.org/officeDocument/2006/relationships/hyperlink" Target="https://advance.lexis.com/api/document?collection=cases&amp;id=urn:contentItem:4X85-40M0-TXFP-H385-00000-00&amp;context=" TargetMode="External" /><Relationship Id="rId23" Type="http://schemas.openxmlformats.org/officeDocument/2006/relationships/hyperlink" Target="https://advance.lexis.com/api/document?collection=cases&amp;id=urn:contentItem:3S4W-Y8S0-001B-K1MJ-00000-00&amp;context=" TargetMode="External" /><Relationship Id="rId24" Type="http://schemas.openxmlformats.org/officeDocument/2006/relationships/hyperlink" Target="https://advance.lexis.com/api/document?collection=cases&amp;id=urn:contentItem:3S4X-16H0-0039-W1PJ-00000-00&amp;context=" TargetMode="External" /><Relationship Id="rId25" Type="http://schemas.openxmlformats.org/officeDocument/2006/relationships/hyperlink" Target="https://advance.lexis.com/api/document?collection=cases&amp;id=urn:contentItem:44N5-9DK0-0038-Y4CW-00000-00&amp;context=" TargetMode="External" /><Relationship Id="rId26" Type="http://schemas.openxmlformats.org/officeDocument/2006/relationships/hyperlink" Target="https://advance.lexis.com/api/document?collection=cases&amp;id=urn:contentItem:494T-VD60-0038-Y0P1-00000-00&amp;context=" TargetMode="External" /><Relationship Id="rId27" Type="http://schemas.openxmlformats.org/officeDocument/2006/relationships/hyperlink" Target="https://advance.lexis.com/api/document?collection=cases&amp;id=urn:contentItem:3S4V-KH30-0054-6289-00000-00&amp;context=" TargetMode="External" /><Relationship Id="rId28" Type="http://schemas.openxmlformats.org/officeDocument/2006/relationships/hyperlink" Target="https://advance.lexis.com/api/document?collection=cases&amp;id=urn:contentItem:3S4X-53H0-003B-S0M5-00000-00&amp;context=" TargetMode="External" /><Relationship Id="rId29" Type="http://schemas.openxmlformats.org/officeDocument/2006/relationships/hyperlink" Target="https://advance.lexis.com/api/document?collection=cases&amp;id=urn:contentItem:40T2-X8J0-0038-Y2SJ-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N-V3J0-0054-72HT-00000-00&amp;context=" TargetMode="External" /><Relationship Id="rId31"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26-K5M0-006W-80GK-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5170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71338759</vt:lpwstr>
  </property>
  <property fmtid="{D5CDD505-2E9C-101B-9397-08002B2CF9AE}" pid="3" name="LADocCount">
    <vt:lpwstr>1</vt:lpwstr>
  </property>
  <property fmtid="{D5CDD505-2E9C-101B-9397-08002B2CF9AE}" pid="4" name="UserPermID">
    <vt:lpwstr>urn:user:PA185916758</vt:lpwstr>
  </property>
</Properties>
</file>