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40877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121, Thursday, June 23,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40877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June 23,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Elementary and Secondary Education (OESE)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Promoting Student Resilience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Elementary and Secondary Education (OESE)</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r>
        <w:rPr>
          <w:rFonts w:ascii="arial" w:eastAsia="arial" w:hAnsi="arial" w:cs="arial"/>
          <w:b w:val="0"/>
          <w:i w:val="0"/>
          <w:strike w:val="0"/>
          <w:noProof w:val="0"/>
          <w:color w:val="000000"/>
          <w:position w:val="0"/>
          <w:sz w:val="20"/>
          <w:u w:val="none"/>
          <w:vertAlign w:val="baseline"/>
        </w:rPr>
        <w:t xml:space="preserve"> Promoting Student Resilience.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84.184C.</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Promoting Student Resilience program provides grants to local educational agencies (LEAs) (or consortia of LEAs) to build and increase their capacity to address the comprehensive behavioral and mental health needs of students in communities that have experienced Significant civil unrest n1 in the past 24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Defined terms are used throughout the notice and are indicated by capitalization.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Recent events have demonstrated that incidents involving civil unrest can disrupt schools and adversely impact the learning environment. These experiences can traumatize students, and this trauma can have lasting adverse effects on the mental, social, and emotional well-being of children and youth. The communities that are directly impacted by Significant civil unrest often have a long history of poverty, neglect, and inequality, and students in these communities often face barriers to accessing social and health services. It is widely recognized that there may also be a history of tension in the relationships between members of the community and agents of the public sector that deters efforts to seek such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Substance Abuse and Mental Health Services Administration (SAMHSA), trauma results from an event or a series of events, or a set of circumstances that is perceived by an individual as physically or emotionally harmful or life threatening and that has lasting adverse effects on the individual's mental, social, or emotional well-being.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Substance Abuse and Mental Health Services Administration. SAMHSA's Concept of Trauma and Guidance for a Trauma-Informed Approach. HHS Publication No. (SMA) 14-4884. Rockville, MD: Substance Abuse and Mental Health Services Administration, 2014. </w:t>
      </w:r>
      <w:r>
        <w:rPr>
          <w:rFonts w:ascii="arial" w:eastAsia="arial" w:hAnsi="arial" w:cs="arial"/>
          <w:b/>
          <w:i w:val="0"/>
          <w:strike w:val="0"/>
          <w:noProof w:val="0"/>
          <w:color w:val="000000"/>
          <w:position w:val="0"/>
          <w:sz w:val="20"/>
          <w:u w:val="none"/>
          <w:vertAlign w:val="baseline"/>
        </w:rPr>
        <w:t> [*40878]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contains one absolute priority and two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We are establishing these priorities for the FY 2016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accordance with section 437(d)(1) of the General Education Provisions Act (GEPA), </w:t>
      </w:r>
      <w:hyperlink r:id="rId8" w:history="1">
        <w:r>
          <w:rPr>
            <w:rFonts w:ascii="arial" w:eastAsia="arial" w:hAnsi="arial" w:cs="arial"/>
            <w:b w:val="0"/>
            <w:i/>
            <w:strike w:val="0"/>
            <w:noProof w:val="0"/>
            <w:color w:val="0077CC"/>
            <w:position w:val="0"/>
            <w:sz w:val="20"/>
            <w:u w:val="single"/>
            <w:vertAlign w:val="baseline"/>
          </w:rPr>
          <w:t>20 U.S.C. 1232(d)(1)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9"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xml:space="preserve">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Grants to Local Educational Agencies (LEAs) to Provide School-Based Supports to Address the Behavioral and Mental Health Needs of Students in Communities That Have Experienced Significant Civil Unrest.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grants to LEAs (or consortia of LEAs) in communities that have experienced Significant civil unrest to expand the capacity of those LEAs to more effectively address the behavioral and mental health needs of affected students in those communities. An increased capacity of enhanced social and emotional supports, combined with other school-based strategies, will offer schools an opportunity to create, strengthen, and maintain safe and supportive learning environments. These projects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Expand the capacity of the LEA(s) to more effectively address the behavioral and mental health needs of students,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Provide increased access for students to school-based counseling services, or referrals to community-based counseling services, for assistance in coping with trauma.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w:t>
      </w:r>
      <w:hyperlink r:id="rId9" w:history="1">
        <w:r>
          <w:rPr>
            <w:rFonts w:ascii="arial" w:eastAsia="arial" w:hAnsi="arial" w:cs="arial"/>
            <w:b w:val="0"/>
            <w:i/>
            <w:strike w:val="0"/>
            <w:noProof w:val="0"/>
            <w:color w:val="0077CC"/>
            <w:position w:val="0"/>
            <w:sz w:val="20"/>
            <w:u w:val="single"/>
            <w:vertAlign w:val="baseline"/>
          </w:rPr>
          <w:t>34 CFR 75.105(c)(2)(1)</w:t>
        </w:r>
      </w:hyperlink>
      <w:r>
        <w:rPr>
          <w:rFonts w:ascii="arial" w:eastAsia="arial" w:hAnsi="arial" w:cs="arial"/>
          <w:b w:val="0"/>
          <w:i w:val="0"/>
          <w:strike w:val="0"/>
          <w:noProof w:val="0"/>
          <w:color w:val="000000"/>
          <w:position w:val="0"/>
          <w:sz w:val="20"/>
          <w:u w:val="none"/>
          <w:vertAlign w:val="baseline"/>
        </w:rPr>
        <w:t xml:space="preserve"> we award up to an additional 10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depending on how well the application meets this priority. We also award 5 points on an all or nothing basis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Therefore, the maximum number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 that an application can receive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1--Coordination with Community-Based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priority, we provide up to an additional 10 points to an applicant based on the application's description of a credible, high-quality plan to coordinate activities that would be funded under the proposed project with related activities that would be conducted under other programs for which the applicant currently has, or is seeking, funding, including, but not limited to, the Substance Abuse and Mental Health Service Administration's Resiliency in Communities After Stress and Trauma grant program (CFDA 93.243). The coordination plan must include: (1) A description of how the applicant will coordinate with Community-based organizations with experience carrying out similar or related activities to promote student resilience; and (2) evidence of collaboration and coordination through letters of support or a memorandum of understanding from the entities with which the collaboration and coordination will occur. Applicants that receive additional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points under this priority and who are ultimately awarded a Promoting Student Resilience grant must finalize and implement the high-quality plan described in response to this priority within six months of the grant award.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2--Emergency Declaration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an additional 5 points to an applicant from a community in which Significant civil unrest resulted in an emergency declaration from the governor. Applicants must provide a copy of the Governor's declaration in the application.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Requirements:</w:t>
      </w:r>
      <w:r>
        <w:rPr>
          <w:rFonts w:ascii="arial" w:eastAsia="arial" w:hAnsi="arial" w:cs="arial"/>
          <w:b w:val="0"/>
          <w:i w:val="0"/>
          <w:strike w:val="0"/>
          <w:noProof w:val="0"/>
          <w:color w:val="000000"/>
          <w:position w:val="0"/>
          <w:sz w:val="20"/>
          <w:u w:val="none"/>
          <w:vertAlign w:val="baseline"/>
        </w:rPr>
        <w:t xml:space="preserve"> We are establishing these requirements for the FY 2016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accordance with section 437(d)(1) of the General Education Provisions Act (GEPA), </w:t>
      </w:r>
      <w:hyperlink r:id="rId8" w:history="1">
        <w:r>
          <w:rPr>
            <w:rFonts w:ascii="arial" w:eastAsia="arial" w:hAnsi="arial" w:cs="arial"/>
            <w:b w:val="0"/>
            <w:i/>
            <w:strike w:val="0"/>
            <w:noProof w:val="0"/>
            <w:color w:val="0077CC"/>
            <w:position w:val="0"/>
            <w:sz w:val="20"/>
            <w:u w:val="single"/>
            <w:vertAlign w:val="baseline"/>
          </w:rPr>
          <w:t>20 U.S.C. 1232(d)(1)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 eligible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 application must include, in addition to the items in the plan listed under Program Requirements,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description of Significant civil unrest experienced by the LEA(s) and its impact on the learning environment in specific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Logic model for how the applicant will use grant funds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needs assessment of students who, as a result of exposure to Significant civil unrest, would benefit from enhanced or increased behavioral and mental health services. This needs assessment must include input from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capacity assessment of the LEA's, or LEAs', service delivery system's ability to provide mental and behavioral health services;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A plan to successfully meet the program requirements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based on data from the needs assessment and the capacity assessment.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Requirements:</w:t>
      </w:r>
      <w:r>
        <w:rPr>
          <w:rFonts w:ascii="arial" w:eastAsia="arial" w:hAnsi="arial" w:cs="arial"/>
          <w:b w:val="0"/>
          <w:i w:val="0"/>
          <w:strike w:val="0"/>
          <w:noProof w:val="0"/>
          <w:color w:val="000000"/>
          <w:position w:val="0"/>
          <w:sz w:val="20"/>
          <w:u w:val="none"/>
          <w:vertAlign w:val="baseline"/>
        </w:rPr>
        <w:t xml:space="preserve"> We are establishing these requirements for the FY 2016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accordance with section 437(d)(1) of the General Education Provisions Act (GEPA), </w:t>
      </w:r>
      <w:hyperlink r:id="rId8" w:history="1">
        <w:r>
          <w:rPr>
            <w:rFonts w:ascii="arial" w:eastAsia="arial" w:hAnsi="arial" w:cs="arial"/>
            <w:b w:val="0"/>
            <w:i/>
            <w:strike w:val="0"/>
            <w:noProof w:val="0"/>
            <w:color w:val="0077CC"/>
            <w:position w:val="0"/>
            <w:sz w:val="20"/>
            <w:u w:val="single"/>
            <w:vertAlign w:val="baseline"/>
          </w:rPr>
          <w:t>20 U.S.C. 1232(d)(1)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grantee must implement a plan described in its approved application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Develop, enhance and increase its capacity to provide school-based mental health and behavioral services including, but not limited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Providing professional development opportunities for LEA and school mental health staff on how to screen for and respond to civil unrest-related trauma and implement strategies appropriate for school-based mitigation of trauma;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Improving the range, availability, and quality of school-based supports by hiring qualified mental health professionals with experience or training in the behavioral and mental health needs of youth who have experienced trauma related to recent events in their communities;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Providing training to select school staff, community partners, youth, and parents on the challenges due to exposure to the trauma related to recent events in their communities, and on the importance of screening students and providing interventions to help students cope with traumatic events;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Providing enhanced or increased behavioral and mental health services and supports while also increasing the grantee's capacity to provide those services and supports.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We are establishing the definition of "significant civil unrest" and "community-based organization" in this notice for the FY 2016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accordance with section 437(d)(1) of GEPA, </w:t>
      </w:r>
      <w:hyperlink r:id="rId8" w:history="1">
        <w:r>
          <w:rPr>
            <w:rFonts w:ascii="arial" w:eastAsia="arial" w:hAnsi="arial" w:cs="arial"/>
            <w:b w:val="0"/>
            <w:i/>
            <w:strike w:val="0"/>
            <w:noProof w:val="0"/>
            <w:color w:val="0077CC"/>
            <w:position w:val="0"/>
            <w:sz w:val="20"/>
            <w:u w:val="single"/>
            <w:vertAlign w:val="baseline"/>
          </w:rPr>
          <w:t>20 U.S.C. 1232(d)(1)</w:t>
        </w:r>
      </w:hyperlink>
      <w:r>
        <w:rPr>
          <w:rFonts w:ascii="arial" w:eastAsia="arial" w:hAnsi="arial" w:cs="arial"/>
          <w:b w:val="0"/>
          <w:i w:val="0"/>
          <w:strike w:val="0"/>
          <w:noProof w:val="0"/>
          <w:color w:val="000000"/>
          <w:position w:val="0"/>
          <w:sz w:val="20"/>
          <w:u w:val="none"/>
          <w:vertAlign w:val="baseline"/>
        </w:rPr>
        <w:t>. The definition of "local educational agency" is from section 9101(26) of the Elementary and Secondary Education Act of 1965 (ESEA), as amended by the No Child Left Behind Act of 2001 (NCLB) (</w:t>
      </w:r>
      <w:hyperlink r:id="rId10" w:history="1">
        <w:r>
          <w:rPr>
            <w:rFonts w:ascii="arial" w:eastAsia="arial" w:hAnsi="arial" w:cs="arial"/>
            <w:b w:val="0"/>
            <w:i/>
            <w:strike w:val="0"/>
            <w:noProof w:val="0"/>
            <w:color w:val="0077CC"/>
            <w:position w:val="0"/>
            <w:sz w:val="20"/>
            <w:u w:val="single"/>
            <w:vertAlign w:val="baseline"/>
          </w:rPr>
          <w:t>20 U.S.C. 7801</w:t>
        </w:r>
      </w:hyperlink>
      <w:r>
        <w:rPr>
          <w:rFonts w:ascii="arial" w:eastAsia="arial" w:hAnsi="arial" w:cs="arial"/>
          <w:b w:val="0"/>
          <w:i w:val="0"/>
          <w:strike w:val="0"/>
          <w:noProof w:val="0"/>
          <w:color w:val="000000"/>
          <w:position w:val="0"/>
          <w:sz w:val="20"/>
          <w:u w:val="none"/>
          <w:vertAlign w:val="baseline"/>
        </w:rPr>
        <w:t xml:space="preserve">). The definitions of "baseline," "evidence of promise," "logic model," "quasi- </w:t>
      </w:r>
      <w:r>
        <w:rPr>
          <w:rFonts w:ascii="arial" w:eastAsia="arial" w:hAnsi="arial" w:cs="arial"/>
          <w:b/>
          <w:i w:val="0"/>
          <w:strike w:val="0"/>
          <w:noProof w:val="0"/>
          <w:color w:val="000000"/>
          <w:position w:val="0"/>
          <w:sz w:val="20"/>
          <w:u w:val="none"/>
          <w:vertAlign w:val="baseline"/>
        </w:rPr>
        <w:t> [*40879] </w:t>
      </w:r>
      <w:r>
        <w:rPr>
          <w:rFonts w:ascii="arial" w:eastAsia="arial" w:hAnsi="arial" w:cs="arial"/>
          <w:b w:val="0"/>
          <w:i w:val="0"/>
          <w:strike w:val="0"/>
          <w:noProof w:val="0"/>
          <w:color w:val="000000"/>
          <w:position w:val="0"/>
          <w:sz w:val="20"/>
          <w:u w:val="none"/>
          <w:vertAlign w:val="baseline"/>
        </w:rPr>
        <w:t xml:space="preserve"> experimental design study," "randomized controlled trial," and "relevant outcome" are from </w:t>
      </w:r>
      <w:hyperlink r:id="rId11"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means the starting point from which performance is measured and targets are set.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Community-based organization</w:t>
      </w:r>
      <w:r>
        <w:rPr>
          <w:rFonts w:ascii="arial" w:eastAsia="arial" w:hAnsi="arial" w:cs="arial"/>
          <w:b w:val="0"/>
          <w:i w:val="0"/>
          <w:strike w:val="0"/>
          <w:noProof w:val="0"/>
          <w:color w:val="000000"/>
          <w:position w:val="0"/>
          <w:sz w:val="20"/>
          <w:u w:val="none"/>
          <w:vertAlign w:val="baseline"/>
        </w:rPr>
        <w:t xml:space="preserve"> means a private or public nonprofit organization of demonstrated effectiveness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 representative of a community or significant segments of a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provides educational or related services to individuals in the community;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has experience carrying out activities promoting student resilience.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 of promise</w:t>
      </w:r>
      <w:r>
        <w:rPr>
          <w:rFonts w:ascii="arial" w:eastAsia="arial" w:hAnsi="arial" w:cs="arial"/>
          <w:b w:val="0"/>
          <w:i w:val="0"/>
          <w:strike w:val="0"/>
          <w:noProof w:val="0"/>
          <w:color w:val="000000"/>
          <w:position w:val="0"/>
          <w:sz w:val="20"/>
          <w:u w:val="none"/>
          <w:vertAlign w:val="baseline"/>
        </w:rPr>
        <w:t xml:space="preserve"> means there is empirical evidence to support the theoretical linkage(s) between at least one critical component and at least one Relevant outcome presented in the logic model for the proposed process, product, strategy, or practice. Specifically, evidence of promise means the conditions in both paragraphs (i) and (ii) of this definition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that is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Correlational study with statistical controls for selection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Quasi-experimental design study that meets the What Works Clearinghouse Evidence Standards with reservations;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Randomized controlled trial that meets the What Works Clearinghouse Evidence Standards with or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study referenced in paragraph (i) of this definition found a statistically significant or substantively important (defined as a difference of 0.25 standard deviations or larger) favorable association between at least one critical component and one Relevant outcome presented in the logic model for the proposed process, product, strategy, or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Local educational agency (LEA)</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public board of education or other public authority legally constituted within a State for either administrative control or direction of, or to perform a service function for, public elementary schools or secondary schools in a city, county, township, school district, or other political subdivision of a State, or of or for a combination of school districts or counties that is recognized in a State as an administrative agency for its public elementary schools or secondary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term includes any other public institution or agency having administrative control and direction of a public elementary school or secondary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term includes an elementary school or secondary school funded by the Bureau of Indian Affairs but only to the extent that including the school makes the school eligible for programs for which specific eligibility is not provided to the school in another provision of law and the school does not have a student population that is smaller than the student population of the local educational agency receiving assistance under the ESEA with the smallest student population, except that the school shall not be subject to the jurisdiction of any State educational agency other than the Bureau of Indian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term includes educational service agencies and consortia of those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term includes the State educational agency in a State in which the State educational agency is the sole educational agency for all public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with reservations (but not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the average outcomes for the treatment group and for the control group.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Significant civil unrest</w:t>
      </w:r>
      <w:r>
        <w:rPr>
          <w:rFonts w:ascii="arial" w:eastAsia="arial" w:hAnsi="arial" w:cs="arial"/>
          <w:b w:val="0"/>
          <w:i w:val="0"/>
          <w:strike w:val="0"/>
          <w:noProof w:val="0"/>
          <w:color w:val="000000"/>
          <w:position w:val="0"/>
          <w:sz w:val="20"/>
          <w:u w:val="none"/>
          <w:vertAlign w:val="baseline"/>
        </w:rPr>
        <w:t xml:space="preserve"> means demonstrations of mass protest that included law enforcement involvement that occurred within 24 months immediately prior to June 23,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the Department generally offers interested parties the opportunity to comment on proposed priorities, definitions, and requirements. Section 437(d)(1) of GEPA, however, allows the Secretary to exempt from rulemaking requirements,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a new or substantially revised program authority. This is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this program under section 4121 of the Elementary and Secondary Education Act as amended by the No Child Left Behind Act of 2001 and therefore qualifies for this exemption. In order to ensure timely grant awards, the Secretary has decided to forego public comment on the priorities, requirements, and definitions under section 437(d)(1) of GEPA. These priorities, requirements, and definitions will apply to the FY 2016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vertAlign w:val="baseline"/>
          </w:rPr>
          <w:t>20 U.S.C. 7131</w:t>
        </w:r>
      </w:hyperlink>
      <w:r>
        <w:rPr>
          <w:rFonts w:ascii="arial" w:eastAsia="arial" w:hAnsi="arial" w:cs="arial"/>
          <w:b w:val="0"/>
          <w:i w:val="0"/>
          <w:strike w:val="0"/>
          <w:noProof w:val="0"/>
          <w:color w:val="000000"/>
          <w:position w:val="0"/>
          <w:sz w:val="20"/>
          <w:u w:val="none"/>
          <w:vertAlign w:val="baseline"/>
        </w:rPr>
        <w:t>, and Title III of Division H of the Consolidated Appropriations Act, 2016 (</w:t>
      </w:r>
      <w:r>
        <w:rPr>
          <w:rFonts w:ascii="arial" w:eastAsia="arial" w:hAnsi="arial" w:cs="arial"/>
          <w:b w:val="0"/>
          <w:i/>
          <w:strike w:val="0"/>
          <w:noProof w:val="0"/>
          <w:color w:val="000000"/>
          <w:position w:val="0"/>
          <w:sz w:val="20"/>
          <w:u w:val="none"/>
          <w:vertAlign w:val="baseline"/>
        </w:rPr>
        <w:t>Pub. L. 114-113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97, 98, and 99. (b) The Office of Management and Budget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299.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$ 4,750,000.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2017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[*40880]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$ 1,187,500-$ 2,375,000.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$ 1,500,000.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not fund any portion of a budget request exceeding $ 2,375,000 for a budget period of 24 months. The Assistant Secretary for Elementary and Secondary Education may change the maximum amount through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24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LEAs, or consortia of LEAs, from a community that has experienced Significant civil unrest.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Participation by Private School Children and Teachers. Section 9501 of the ESEA requires that SEAs, LEAs, or other entities receiving funds under the Safe and Drug-Free Schools and Communities Act provide for the equitable participation of private school children, their teachers, and other educational personnel in private schools located in geographic areas served by the grant recipient.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ensure that grant program activities address the needs of private school children, the applicant must engage in timely and meaningful consultation with appropriate private school officials during the design and development of the proposed program. This consultation must take place before the applicant makes any decision that affects the opportunities of eligible private school children, teachers, and other educational personnel to participate in grant program activities. The eligible entity should engage in a process of timely and meaningful consultation with private school officials and provide them with information related to the projected and final funding amounts for programs and services, including on the process the entity will use in preparing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application. Administrative direction and control over grant funds must remain with the grantee.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13"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val="0"/>
          <w:strike w:val="0"/>
          <w:noProof w:val="0"/>
          <w:color w:val="000000"/>
          <w:position w:val="0"/>
          <w:sz w:val="20"/>
          <w:u w:val="none"/>
          <w:vertAlign w:val="baseline"/>
        </w:rPr>
        <w:t>. To obtain a copy from ED Pubs, write, fax, or call: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4"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15"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program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84.184C.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is where you, the applicant, provide the project narrative to address the selection criteria that reviewers use to evaluate your application. The required budget and budget narrative will be provided in a separate section. You must limit the application narrative to the equivalent of no more than 30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does not apply to the cover sheet; the budget section, including the narrative budget justification; the assurances and certifications; or the one-page abstract, the resumes, the bibliography, or the letters of support. However, the page limit does apply to all of the application narrative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reviewers will not read any pages of your application that exceed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June 23,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25,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program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However, under </w:t>
      </w:r>
      <w:hyperlink r:id="rId16" w:history="1">
        <w:r>
          <w:rPr>
            <w:rFonts w:ascii="arial" w:eastAsia="arial" w:hAnsi="arial" w:cs="arial"/>
            <w:b w:val="0"/>
            <w:i/>
            <w:strike w:val="0"/>
            <w:noProof w:val="0"/>
            <w:color w:val="0077CC"/>
            <w:position w:val="0"/>
            <w:sz w:val="20"/>
            <w:u w:val="single"/>
            <w:vertAlign w:val="baseline"/>
          </w:rPr>
          <w:t>34 CFR 79.8(a)</w:t>
        </w:r>
      </w:hyperlink>
      <w:r>
        <w:rPr>
          <w:rFonts w:ascii="arial" w:eastAsia="arial" w:hAnsi="arial" w:cs="arial"/>
          <w:b w:val="0"/>
          <w:i w:val="0"/>
          <w:strike w:val="0"/>
          <w:noProof w:val="0"/>
          <w:color w:val="000000"/>
          <w:position w:val="0"/>
          <w:sz w:val="20"/>
          <w:u w:val="none"/>
          <w:vertAlign w:val="baseline"/>
        </w:rPr>
        <w:t>, we waive intergovernmental review in order to make awards by the end of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17" w:history="1">
        <w:r>
          <w:rPr>
            <w:rFonts w:ascii="arial" w:eastAsia="arial" w:hAnsi="arial" w:cs="arial"/>
            <w:b w:val="0"/>
            <w:i/>
            <w:strike w:val="0"/>
            <w:noProof w:val="0"/>
            <w:color w:val="0077CC"/>
            <w:position w:val="0"/>
            <w:sz w:val="20"/>
            <w:u w:val="single"/>
            <w:vertAlign w:val="baseline"/>
          </w:rPr>
          <w:t>http://fedgov.dnb.com/</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[*40881] </w:t>
      </w:r>
      <w:r>
        <w:rPr>
          <w:rFonts w:ascii="arial" w:eastAsia="arial" w:hAnsi="arial" w:cs="arial"/>
          <w:b w:val="0"/>
          <w:i/>
          <w:strike w:val="0"/>
          <w:noProof w:val="0"/>
          <w:color w:val="000000"/>
          <w:position w:val="0"/>
          <w:sz w:val="20"/>
          <w:u w:val="none"/>
          <w:vertAlign w:val="baseline"/>
        </w:rPr>
        <w:t xml:space="preserve"> webform</w:t>
      </w:r>
      <w:r>
        <w:rPr>
          <w:rFonts w:ascii="arial" w:eastAsia="arial" w:hAnsi="arial" w:cs="arial"/>
          <w:b w:val="0"/>
          <w:i w:val="0"/>
          <w:strike w:val="0"/>
          <w:noProof w:val="0"/>
          <w:color w:val="000000"/>
          <w:position w:val="0"/>
          <w:sz w:val="20"/>
          <w:u w:val="none"/>
          <w:vertAlign w:val="baseline"/>
        </w:rPr>
        <w:t>.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8"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hyperlink r:id="rId19"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0"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Promoting Student Resilience Program, CFDA number 84.184C,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Promoting Student Resilience Program at </w:t>
      </w:r>
      <w:hyperlink r:id="rId2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84.184, not 84.184C).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program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2"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3"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w:t>
      </w:r>
      <w:r>
        <w:rPr>
          <w:rFonts w:ascii="arial" w:eastAsia="arial" w:hAnsi="arial" w:cs="arial"/>
          <w:b/>
          <w:i w:val="0"/>
          <w:strike w:val="0"/>
          <w:noProof w:val="0"/>
          <w:color w:val="000000"/>
          <w:position w:val="0"/>
          <w:sz w:val="20"/>
          <w:u w:val="none"/>
          <w:vertAlign w:val="baseline"/>
        </w:rPr>
        <w:t> [*40882] </w:t>
      </w:r>
      <w:r>
        <w:rPr>
          <w:rFonts w:ascii="arial" w:eastAsia="arial" w:hAnsi="arial" w:cs="arial"/>
          <w:b w:val="0"/>
          <w:i w:val="0"/>
          <w:strike w:val="0"/>
          <w:noProof w:val="0"/>
          <w:color w:val="000000"/>
          <w:position w:val="0"/>
          <w:sz w:val="20"/>
          <w:u w:val="none"/>
          <w:vertAlign w:val="baseline"/>
        </w:rPr>
        <w:t xml:space="preserve">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Deirdra Hilliard, U.S. Department of Education, 400 Maryland Avenue SW., Room 3E-249, Washington, DC 20202-6450. FAX: (202) 453-6742.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84.184C),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84.184C),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w:t>
      </w:r>
      <w:hyperlink r:id="rId24" w:history="1">
        <w:r>
          <w:rPr>
            <w:rFonts w:ascii="arial" w:eastAsia="arial" w:hAnsi="arial" w:cs="arial"/>
            <w:b w:val="0"/>
            <w:i/>
            <w:strike w:val="0"/>
            <w:noProof w:val="0"/>
            <w:color w:val="0077CC"/>
            <w:position w:val="0"/>
            <w:sz w:val="20"/>
            <w:u w:val="single"/>
            <w:vertAlign w:val="baseline"/>
          </w:rPr>
          <w:t xml:space="preserve">34 CFR </w:t>
        </w:r>
      </w:hyperlink>
      <w:hyperlink r:id="rId24" w:history="1">
        <w:r>
          <w:rPr>
            <w:rFonts w:ascii="arial" w:eastAsia="arial" w:hAnsi="arial" w:cs="arial"/>
            <w:b/>
            <w:i/>
            <w:strike w:val="0"/>
            <w:noProof w:val="0"/>
            <w:color w:val="0077CC"/>
            <w:position w:val="0"/>
            <w:sz w:val="20"/>
            <w:u w:val="single"/>
            <w:vertAlign w:val="baseline"/>
          </w:rPr>
          <w:t> [*40883] </w:t>
        </w:r>
      </w:hyperlink>
      <w:hyperlink r:id="rId24" w:history="1">
        <w:r>
          <w:rPr>
            <w:rFonts w:ascii="arial" w:eastAsia="arial" w:hAnsi="arial" w:cs="arial"/>
            <w:b w:val="0"/>
            <w:i/>
            <w:strike w:val="0"/>
            <w:noProof w:val="0"/>
            <w:color w:val="0077CC"/>
            <w:position w:val="0"/>
            <w:sz w:val="20"/>
            <w:u w:val="single"/>
            <w:vertAlign w:val="baseline"/>
          </w:rPr>
          <w:t xml:space="preserve"> 75.210</w:t>
        </w:r>
      </w:hyperlink>
      <w:r>
        <w:rPr>
          <w:rFonts w:ascii="arial" w:eastAsia="arial" w:hAnsi="arial" w:cs="arial"/>
          <w:b w:val="0"/>
          <w:i w:val="0"/>
          <w:strike w:val="0"/>
          <w:noProof w:val="0"/>
          <w:color w:val="000000"/>
          <w:position w:val="0"/>
          <w:sz w:val="20"/>
          <w:u w:val="none"/>
          <w:vertAlign w:val="baseline"/>
        </w:rPr>
        <w:t xml:space="preserve"> of EDGAR. All of the selection criteria are listed in this section and in the application package. The maximum score for all of the selection criteria is 100 points. The maximum score for each criterion is included in parentheses following the title of the specific selection criterion. Each criterion also includes one or more factors that reviewers will consider in determining the extent to which an applicant meets the criterion. Points awarded under these selection criteria are in addition to any points an applicant earns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in this notice. The maximum score that an application may receive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the selection criteria is 115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Need for Project.</w:t>
      </w:r>
      <w:r>
        <w:rPr>
          <w:rFonts w:ascii="arial" w:eastAsia="arial" w:hAnsi="arial" w:cs="arial"/>
          <w:b w:val="0"/>
          <w:i w:val="0"/>
          <w:strike w:val="0"/>
          <w:noProof w:val="0"/>
          <w:color w:val="000000"/>
          <w:position w:val="0"/>
          <w:sz w:val="20"/>
          <w:u w:val="none"/>
          <w:vertAlign w:val="baseline"/>
        </w:rPr>
        <w:t xml:space="preserve">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need for the proposed project. In determining the need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magnitude of the need for the services to be provided or the activities to be carried out by the proposed project.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extent to which specific gaps or weaknesses in services, infrastructure or opportunities have been identified and will be addressed by the proposed project including the nature and magnitude of those gaps or weaknesses.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Quality of the Project Design.</w:t>
      </w:r>
      <w:r>
        <w:rPr>
          <w:rFonts w:ascii="arial" w:eastAsia="arial" w:hAnsi="arial" w:cs="arial"/>
          <w:b w:val="0"/>
          <w:i w:val="0"/>
          <w:strike w:val="0"/>
          <w:noProof w:val="0"/>
          <w:color w:val="000000"/>
          <w:position w:val="0"/>
          <w:sz w:val="20"/>
          <w:u w:val="none"/>
          <w:vertAlign w:val="baseline"/>
        </w:rPr>
        <w:t xml:space="preserve"> (45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design of the proposed project. In determining the quality of the design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extent to which the design of the proposed project is appropriate to, and will successfully address, the needs of the target population or other identified needs. (15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extent to which the proposed project will integrate with or build on similar or related efforts in order to improve Relevant outcome(s) (as defined in </w:t>
      </w:r>
      <w:hyperlink r:id="rId11"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using existing funding streams from other programs or policies supported by community, State, and Federal resources. (10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The extent to which the proposed project is supported by Evidence of promise (as defined in </w:t>
      </w:r>
      <w:hyperlink r:id="rId11"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extent to which the proposed project will establish linkages with other appropriate agencies and organizations providing services to the target population.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extent to which the proposed project encourages parental involvement.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Quality of Project Personnel.</w:t>
      </w:r>
      <w:r>
        <w:rPr>
          <w:rFonts w:ascii="arial" w:eastAsia="arial" w:hAnsi="arial" w:cs="arial"/>
          <w:b w:val="0"/>
          <w:i w:val="0"/>
          <w:strike w:val="0"/>
          <w:noProof w:val="0"/>
          <w:color w:val="000000"/>
          <w:position w:val="0"/>
          <w:sz w:val="20"/>
          <w:u w:val="none"/>
          <w:vertAlign w:val="baseline"/>
        </w:rPr>
        <w:t xml:space="preserve">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personnel who will carry out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 determining the quality of project personnel, the Secretary considers the extent to which the applicant encourages applications for employment from persons who are members of groups that have traditionally been underrepresented based on race, color, national origin, gender, age, or disability.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Secretary considers the following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qualifications, including relevant training and experience, of key project personnel.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Quality of the Management Plan.</w:t>
      </w:r>
      <w:r>
        <w:rPr>
          <w:rFonts w:ascii="arial" w:eastAsia="arial" w:hAnsi="arial" w:cs="arial"/>
          <w:b w:val="0"/>
          <w:i w:val="0"/>
          <w:strike w:val="0"/>
          <w:noProof w:val="0"/>
          <w:color w:val="000000"/>
          <w:position w:val="0"/>
          <w:sz w:val="20"/>
          <w:u w:val="none"/>
          <w:vertAlign w:val="baseline"/>
        </w:rPr>
        <w:t xml:space="preserve">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management plan for the proposed project. In determining the quality of the management plan of the proposed project, the Secretary considers the following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adequacy of the management plan to achieve the objectives of the proposed project on time and within budget, including clearly defined responsibilities, timelines, and milestones for accomplishing project tasks.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Quality of the Project Evaluation.</w:t>
      </w:r>
      <w:r>
        <w:rPr>
          <w:rFonts w:ascii="arial" w:eastAsia="arial" w:hAnsi="arial" w:cs="arial"/>
          <w:b w:val="0"/>
          <w:i w:val="0"/>
          <w:strike w:val="0"/>
          <w:noProof w:val="0"/>
          <w:color w:val="000000"/>
          <w:position w:val="0"/>
          <w:sz w:val="20"/>
          <w:u w:val="none"/>
          <w:vertAlign w:val="baseline"/>
        </w:rPr>
        <w:t xml:space="preserve">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project evaluation to be conducted of the proposed project. In determining the quality of the evaluation of the proposed project, the Secretary considers the following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extent to which the methods of evaluation are thorough, feasible, and appropriate to the goals, objectives, and outcomes of the proposed project. (10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5"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2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1"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program the Department conducts a review of the risks posed by applicants. Under </w:t>
      </w:r>
      <w:hyperlink r:id="rId32"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3"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4"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5" w:history="1">
        <w:r>
          <w:rPr>
            <w:rFonts w:ascii="arial" w:eastAsia="arial" w:hAnsi="arial" w:cs="arial"/>
            <w:b w:val="0"/>
            <w:i/>
            <w:strike w:val="0"/>
            <w:noProof w:val="0"/>
            <w:color w:val="0077CC"/>
            <w:position w:val="0"/>
            <w:sz w:val="20"/>
            <w:u w:val="single"/>
            <w:vertAlign w:val="baseline"/>
          </w:rPr>
          <w:t xml:space="preserve">34 CFR </w:t>
        </w:r>
      </w:hyperlink>
      <w:hyperlink r:id="rId35" w:history="1">
        <w:r>
          <w:rPr>
            <w:rFonts w:ascii="arial" w:eastAsia="arial" w:hAnsi="arial" w:cs="arial"/>
            <w:b/>
            <w:i/>
            <w:strike w:val="0"/>
            <w:noProof w:val="0"/>
            <w:color w:val="0077CC"/>
            <w:position w:val="0"/>
            <w:sz w:val="20"/>
            <w:u w:val="single"/>
            <w:vertAlign w:val="baseline"/>
          </w:rPr>
          <w:t> [*40884] </w:t>
        </w:r>
      </w:hyperlink>
      <w:hyperlink r:id="rId35" w:history="1">
        <w:r>
          <w:rPr>
            <w:rFonts w:ascii="arial" w:eastAsia="arial" w:hAnsi="arial" w:cs="arial"/>
            <w:b w:val="0"/>
            <w:i/>
            <w:strike w:val="0"/>
            <w:noProof w:val="0"/>
            <w:color w:val="0077CC"/>
            <w:position w:val="0"/>
            <w:sz w:val="20"/>
            <w:u w:val="single"/>
            <w:vertAlign w:val="baseline"/>
          </w:rPr>
          <w:t xml:space="preserve">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6"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37"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(a) The Department has established the following performance measures for assessing the effectiveness of the Promoting Student Resilience grant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number of students served by the grant(s) receiving school-based and community mental health services to address student needs resulting from exposure to trauma;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number of Community-based organizations that are coordinating and sharing resources with each other as a result of the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Baseline data. Applicants must provide Baseline data for each of the performance measures listed in (a) and explain why each proposed Baseline is valid; or, if the applicant has determined that there are no established Baseline data for a particular performance measure, explain why there is no established Baseline and explain how and when, during the project period, the applicant will establish a valid Baseline for the performance measure.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If the applicant does not have experience with collection and reporting of performance data through other projects or research, the applicant should provide other evidence of capacity to successfully carry out data collection and reporting for its proposed project. These measures constitute the Department's indicators of success for this program. Consequently, we advise an applicant for a grant under this program to give careful consideration to these measure in conceptualizing the approach and evaluation for its proposed project. Each grantee will be required to provide, in its annual performance and final reports, data about its progress in meeting these measures.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Deirdra Hilliard, U.S. Department of Education, 400 Maryland Avenue SW., Room 3E-249, Washington, DC 20202-6450. Telephone: (202) 453-6726 or by email: </w:t>
      </w:r>
      <w:hyperlink r:id="rId38" w:history="1">
        <w:r>
          <w:rPr>
            <w:rFonts w:ascii="arial" w:eastAsia="arial" w:hAnsi="arial" w:cs="arial"/>
            <w:b w:val="0"/>
            <w:i/>
            <w:strike w:val="0"/>
            <w:noProof w:val="0"/>
            <w:color w:val="0077CC"/>
            <w:position w:val="0"/>
            <w:sz w:val="20"/>
            <w:u w:val="single"/>
            <w:vertAlign w:val="baseline"/>
          </w:rPr>
          <w:t>deirdra.hilliard@ed.gov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Federal Relay Service,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39"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0"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June 20,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Ann Whalen,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Senior Advisor to the Secretary, Delegated the Duties of Assistant Secretary for Elementary and 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2016-14907 Filed 6-22-16;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June 23,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25, 2016.</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40877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KS1-NRF4-432P-00000-00&amp;context=" TargetMode="External" /><Relationship Id="rId11" Type="http://schemas.openxmlformats.org/officeDocument/2006/relationships/hyperlink" Target="https://advance.lexis.com/api/document?collection=administrative-codes&amp;id=urn:contentItem:5S7T-7HV0-008H-03HM-00000-00&amp;context=" TargetMode="External" /><Relationship Id="rId12" Type="http://schemas.openxmlformats.org/officeDocument/2006/relationships/hyperlink" Target="https://advance.lexis.com/api/document?collection=statutes-legislation&amp;id=urn:contentItem:4YF7-GV01-NRF4-4259-00000-00&amp;context=" TargetMode="External" /><Relationship Id="rId13" Type="http://schemas.openxmlformats.org/officeDocument/2006/relationships/hyperlink" Target="http://www.ed.gov/fund/grant/apply/grantapps/index.html" TargetMode="External" /><Relationship Id="rId14" Type="http://schemas.openxmlformats.org/officeDocument/2006/relationships/hyperlink" Target="http://www.EDPubs.gov" TargetMode="External" /><Relationship Id="rId15" Type="http://schemas.openxmlformats.org/officeDocument/2006/relationships/hyperlink" Target="mailto:edpubs@inet.ed.gov" TargetMode="External" /><Relationship Id="rId16" Type="http://schemas.openxmlformats.org/officeDocument/2006/relationships/hyperlink" Target="https://advance.lexis.com/api/document?collection=administrative-codes&amp;id=urn:contentItem:5G9C-N150-008H-01B5-00000-00&amp;context=" TargetMode="External" /><Relationship Id="rId17" Type="http://schemas.openxmlformats.org/officeDocument/2006/relationships/hyperlink" Target="http://fedgov.dnb.com/" TargetMode="External" /><Relationship Id="rId18" Type="http://schemas.openxmlformats.org/officeDocument/2006/relationships/hyperlink" Target="http://www.SAM.gov" TargetMode="External" /><Relationship Id="rId19" Type="http://schemas.openxmlformats.org/officeDocument/2006/relationships/hyperlink" Target="http://www2.ed.gov/fund/grant/apply/sam-faqs.html" TargetMode="External" /><Relationship Id="rId2" Type="http://schemas.openxmlformats.org/officeDocument/2006/relationships/webSettings" Target="webSettings.xml" /><Relationship Id="rId20" Type="http://schemas.openxmlformats.org/officeDocument/2006/relationships/hyperlink" Target="http://www.grants.gov/web/grants/register.html" TargetMode="External" /><Relationship Id="rId21" Type="http://schemas.openxmlformats.org/officeDocument/2006/relationships/hyperlink" Target="http://www.Grants.gov" TargetMode="External" /><Relationship Id="rId22" Type="http://schemas.openxmlformats.org/officeDocument/2006/relationships/hyperlink" Target="http://www.G5.gov" TargetMode="External" /><Relationship Id="rId23" Type="http://schemas.openxmlformats.org/officeDocument/2006/relationships/hyperlink" Target="http://www.grants.gov/web/grants/applicants/apply-for-grants.html" TargetMode="External" /><Relationship Id="rId24" Type="http://schemas.openxmlformats.org/officeDocument/2006/relationships/hyperlink" Target="https://advance.lexis.com/api/document?collection=administrative-codes&amp;id=urn:contentItem:5S7T-7HS0-008H-02VY-00000-00&amp;context=" TargetMode="External" /><Relationship Id="rId25" Type="http://schemas.openxmlformats.org/officeDocument/2006/relationships/hyperlink" Target="https://advance.lexis.com/api/document?collection=administrative-codes&amp;id=urn:contentItem:5GMB-DPB0-008H-02GP-00000-00&amp;context=" TargetMode="External" /><Relationship Id="rId26" Type="http://schemas.openxmlformats.org/officeDocument/2006/relationships/hyperlink" Target="https://advance.lexis.com/api/document?collection=administrative-codes&amp;id=urn:contentItem:5KS0-F5W0-008H-023P-00000-00&amp;context=" TargetMode="External" /><Relationship Id="rId27" Type="http://schemas.openxmlformats.org/officeDocument/2006/relationships/hyperlink" Target="https://advance.lexis.com/api/document?collection=administrative-codes&amp;id=urn:contentItem:5R5H-J1H0-008H-043K-00000-00&amp;context=" TargetMode="External" /><Relationship Id="rId28" Type="http://schemas.openxmlformats.org/officeDocument/2006/relationships/hyperlink" Target="https://advance.lexis.com/api/document?collection=administrative-codes&amp;id=urn:contentItem:5KS0-F5W0-008H-024V-00000-00&amp;context=" TargetMode="External" /><Relationship Id="rId29" Type="http://schemas.openxmlformats.org/officeDocument/2006/relationships/hyperlink" Target="https://advance.lexis.com/api/document?collection=administrative-codes&amp;id=urn:contentItem:5KS0-F600-008H-02PT-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5W0-008H-025B-00000-00&amp;context=" TargetMode="External" /><Relationship Id="rId31" Type="http://schemas.openxmlformats.org/officeDocument/2006/relationships/hyperlink" Target="https://advance.lexis.com/api/document?collection=administrative-codes&amp;id=urn:contentItem:5HDM-DHF0-008G-Y2NJ-00000-00&amp;context=" TargetMode="External" /><Relationship Id="rId32" Type="http://schemas.openxmlformats.org/officeDocument/2006/relationships/hyperlink" Target="https://advance.lexis.com/api/document?collection=administrative-codes&amp;id=urn:contentItem:5F34-Y1R0-008G-Y1F9-00000-00&amp;context=" TargetMode="External" /><Relationship Id="rId33" Type="http://schemas.openxmlformats.org/officeDocument/2006/relationships/hyperlink" Target="https://advance.lexis.com/api/document?collection=administrative-codes&amp;id=urn:contentItem:5F2R-48P0-008G-Y31V-00000-00&amp;context=" TargetMode="External" /><Relationship Id="rId34" Type="http://schemas.openxmlformats.org/officeDocument/2006/relationships/hyperlink" Target="https://advance.lexis.com/api/document?collection=administrative-codes&amp;id=urn:contentItem:5GMB-DPC0-008H-02S7-00000-00&amp;context=" TargetMode="External" /><Relationship Id="rId35" Type="http://schemas.openxmlformats.org/officeDocument/2006/relationships/hyperlink" Target="https://advance.lexis.com/api/document?collection=administrative-codes&amp;id=urn:contentItem:5GMB-DPC0-008H-02SK-00000-00&amp;context=" TargetMode="External" /><Relationship Id="rId36" Type="http://schemas.openxmlformats.org/officeDocument/2006/relationships/hyperlink" Target="http://www.ed.gov/fund/grant/apply/appforms/appforms.html" TargetMode="External" /><Relationship Id="rId37" Type="http://schemas.openxmlformats.org/officeDocument/2006/relationships/hyperlink" Target="https://advance.lexis.com/api/document?collection=administrative-codes&amp;id=urn:contentItem:5GMB-DPB0-008H-0272-00000-00&amp;context=" TargetMode="External" /><Relationship Id="rId38" Type="http://schemas.openxmlformats.org/officeDocument/2006/relationships/hyperlink" Target="mailto:deirdra.hilliard@ed.gov" TargetMode="External" /><Relationship Id="rId39" Type="http://schemas.openxmlformats.org/officeDocument/2006/relationships/hyperlink" Target="http://www.gpo.gov/fdsys" TargetMode="External" /><Relationship Id="rId4" Type="http://schemas.openxmlformats.org/officeDocument/2006/relationships/header" Target="header1.xml" /><Relationship Id="rId40" Type="http://schemas.openxmlformats.org/officeDocument/2006/relationships/hyperlink" Target="http://www.federalregister.gov" TargetMode="External" /><Relationship Id="rId41" Type="http://schemas.openxmlformats.org/officeDocument/2006/relationships/numbering" Target="numbering.xml" /><Relationship Id="rId42"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2V-M8M0-006W-80XS-00000-00&amp;context=" TargetMode="External" /><Relationship Id="rId8" Type="http://schemas.openxmlformats.org/officeDocument/2006/relationships/hyperlink" Target="https://advance.lexis.com/api/document?collection=statutes-legislation&amp;id=urn:contentItem:4YF7-GKB1-NRF4-445T-00000-00&amp;context=" TargetMode="External" /><Relationship Id="rId9" Type="http://schemas.openxmlformats.org/officeDocument/2006/relationships/hyperlink" Target="https://advance.lexis.com/api/document?collection=administrative-codes&amp;id=urn:contentItem:5GMB-DPB0-008H-02B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90343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71557673</vt:lpwstr>
  </property>
  <property fmtid="{D5CDD505-2E9C-101B-9397-08002B2CF9AE}" pid="3" name="LADocCount">
    <vt:lpwstr>1</vt:lpwstr>
  </property>
  <property fmtid="{D5CDD505-2E9C-101B-9397-08002B2CF9AE}" pid="4" name="UserPermID">
    <vt:lpwstr>urn:user:PA185916758</vt:lpwstr>
  </property>
</Properties>
</file>