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4353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016, Tuesday, January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4353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Amending the Fees for NYSE Arca BBO and NYSE Arca Trades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34-76937; File No. SR-NYSEArca-2016-09]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("Act") n2 and Rule 19b-4 thereunder, n3 notice is hereby given that, on January 11, 2016, NYSE Arca, Inc. ("Exchange" or "NYSE Arca") filed with the Securities and Exchange Commission ("Commission" or "SEC")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BBO and NYSE Arca Trades to: (1) Establish a multiple data feed fee; (2) discontinue fees relating to managed non-display; (3) modify the application of the access fee; and (4) reduce the Enterprise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val="0"/>
          <w:strike w:val="0"/>
          <w:noProof w:val="0"/>
          <w:color w:val="000000"/>
          <w:position w:val="0"/>
          <w:sz w:val="20"/>
          <w:u w:val="none"/>
          <w:vertAlign w:val="baseline"/>
        </w:rPr>
        <w:t>,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 BBO and NYSE Arca Trades market data products, n4 as set forth on the NYSE Arca Equities Proprietary Market Data Fee Schedule ("Fee Schedule"). The Exchange proposes to make the following fee changes effective January 4 [sic], n5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62188 (May 27, 2010), </w:t>
      </w:r>
      <w:hyperlink r:id="rId12" w:history="1">
        <w:r>
          <w:rPr>
            <w:rFonts w:ascii="arial" w:eastAsia="arial" w:hAnsi="arial" w:cs="arial"/>
            <w:b w:val="0"/>
            <w:i/>
            <w:strike w:val="0"/>
            <w:noProof w:val="0"/>
            <w:color w:val="0077CC"/>
            <w:position w:val="0"/>
            <w:sz w:val="20"/>
            <w:u w:val="single"/>
            <w:vertAlign w:val="baseline"/>
          </w:rPr>
          <w:t>75 FR 31484</w:t>
        </w:r>
      </w:hyperlink>
      <w:r>
        <w:rPr>
          <w:rFonts w:ascii="arial" w:eastAsia="arial" w:hAnsi="arial" w:cs="arial"/>
          <w:b w:val="0"/>
          <w:i w:val="0"/>
          <w:strike w:val="0"/>
          <w:noProof w:val="0"/>
          <w:color w:val="000000"/>
          <w:position w:val="0"/>
          <w:sz w:val="20"/>
          <w:u w:val="none"/>
          <w:vertAlign w:val="baseline"/>
        </w:rPr>
        <w:t xml:space="preserve"> (June 3, 2010) (SR-NYSEArca-2010-23); 69315 (April 5, 2013), </w:t>
      </w:r>
      <w:hyperlink r:id="rId13"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 ("2013 Non-Display Filing"); 70213 (Aug. 15, 2013), </w:t>
      </w:r>
      <w:hyperlink r:id="rId14" w:history="1">
        <w:r>
          <w:rPr>
            <w:rFonts w:ascii="arial" w:eastAsia="arial" w:hAnsi="arial" w:cs="arial"/>
            <w:b w:val="0"/>
            <w:i/>
            <w:strike w:val="0"/>
            <w:noProof w:val="0"/>
            <w:color w:val="0077CC"/>
            <w:position w:val="0"/>
            <w:sz w:val="20"/>
            <w:u w:val="single"/>
            <w:vertAlign w:val="baseline"/>
          </w:rPr>
          <w:t>78 FR 51796</w:t>
        </w:r>
      </w:hyperlink>
      <w:r>
        <w:rPr>
          <w:rFonts w:ascii="arial" w:eastAsia="arial" w:hAnsi="arial" w:cs="arial"/>
          <w:b w:val="0"/>
          <w:i w:val="0"/>
          <w:strike w:val="0"/>
          <w:noProof w:val="0"/>
          <w:color w:val="000000"/>
          <w:position w:val="0"/>
          <w:sz w:val="20"/>
          <w:u w:val="none"/>
          <w:vertAlign w:val="baseline"/>
        </w:rPr>
        <w:t xml:space="preserve"> (Aug. 21, 2013) (SR-NYSEArca-2013-81) ("2013 Arca BBO and Trades Filing"); 73011 (Sept. 5, 2014), </w:t>
      </w:r>
      <w:hyperlink r:id="rId15"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("2014 Non-Display Filing"); and 73998 (Jan. 6, 2015), </w:t>
      </w:r>
      <w:hyperlink r:id="rId16" w:history="1">
        <w:r>
          <w:rPr>
            <w:rFonts w:ascii="arial" w:eastAsia="arial" w:hAnsi="arial" w:cs="arial"/>
            <w:b w:val="0"/>
            <w:i/>
            <w:strike w:val="0"/>
            <w:noProof w:val="0"/>
            <w:color w:val="0077CC"/>
            <w:position w:val="0"/>
            <w:sz w:val="20"/>
            <w:u w:val="single"/>
            <w:vertAlign w:val="baseline"/>
          </w:rPr>
          <w:t>80 FR 1549</w:t>
        </w:r>
      </w:hyperlink>
      <w:r>
        <w:rPr>
          <w:rFonts w:ascii="arial" w:eastAsia="arial" w:hAnsi="arial" w:cs="arial"/>
          <w:b w:val="0"/>
          <w:i w:val="0"/>
          <w:strike w:val="0"/>
          <w:noProof w:val="0"/>
          <w:color w:val="000000"/>
          <w:position w:val="0"/>
          <w:sz w:val="20"/>
          <w:u w:val="none"/>
          <w:vertAlign w:val="baseline"/>
        </w:rPr>
        <w:t xml:space="preserve"> (Jan. 12, 2015) (SR-NYSEArca-2014-148) ("2015 NYSE Arca BBO and Trades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Commission notes that, as stated in the Exhibit 5, the proposed fee changes were effective as of January 11, 2016.</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application of the access fee;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text of footnote 5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SR-NYSEArca-2016-01 (Proposed Rule Change to Amend the Fees for NYSE ArcaBook).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Arca BBO or NYSE Arca Trades in more than two locations would be charged $ 200 per additional location per product per month. No new reporting would be required.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Arca BBO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Non-Display Use of NYSE Arca market data means accessing, processing, or consuming NYSE Arca market data delivered via direct and/or Redistributor n8 data feeds for a purpose </w:t>
      </w:r>
      <w:r>
        <w:rPr>
          <w:rFonts w:ascii="arial" w:eastAsia="arial" w:hAnsi="arial" w:cs="arial"/>
          <w:b/>
          <w:i w:val="0"/>
          <w:strike w:val="0"/>
          <w:noProof w:val="0"/>
          <w:color w:val="000000"/>
          <w:position w:val="0"/>
          <w:sz w:val="20"/>
          <w:u w:val="none"/>
          <w:vertAlign w:val="baseline"/>
        </w:rPr>
        <w:t> [*4354] </w:t>
      </w:r>
      <w:r>
        <w:rPr>
          <w:rFonts w:ascii="arial" w:eastAsia="arial" w:hAnsi="arial" w:cs="arial"/>
          <w:b w:val="0"/>
          <w:i w:val="0"/>
          <w:strike w:val="0"/>
          <w:noProof w:val="0"/>
          <w:color w:val="000000"/>
          <w:position w:val="0"/>
          <w:sz w:val="20"/>
          <w:u w:val="none"/>
          <w:vertAlign w:val="baseline"/>
        </w:rPr>
        <w:t xml:space="preserve"> other than in support of a data recipient's display usage or further internal or external redistribution. n9 Managed Non-Display Services fees apply when a data recipient's non-display applications are hosted by a Redistributor that has been approved for Managed Non-Display Services. n10 A Redistributor approved for Managed Non-Display Services manages and controls the access to NYSE Arca BBO and NYSE Arca Trades and does not allow for further internal distribution or external redistribution of NYSE Arca BBO and NYSE Arca Trades by the data recipients. A Redistributor approved for Managed Non-Display Services is required to report to NYSE Arca on a monthly basis the data recipients that are receiving NYSE Arca market data through the Redistributor's managed non-display service and the real-time NYSE Arca market data products that such data recipients are receiving through such service. Recipients of data through Managed Non-Display Service have no additional reporting requirements. Data recipients that receive NYSE Arca BBO from an approved Redistributor of Managed Non-Display Services are charged a Managed Non-Display Services Fee of $ 200 per month, and data recipients that receive NYSE Arca Trades from an approved Redistributor of Managed Non-Display Services are charged a Managed Non-Display Services Fee of $ 800 per month. Data recipients that receive NYSE Arca BBO and NYSE Arca Trades from an approved Redistributor of Managed Non-Display Services are also charged an Access Fee of $ 375 per month.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"Redistributor" means a vendor or any other person that provides an NYSE Arca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be approved for Managed Non-Display Services, a Redistributor must manage and control the access to NYSE Arca BBO and NYSE Arca Trades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Arca BBO and NYSE Arca Trades in the Redistributor's own messaging formats (rather than using raw NYSE Arca message formats) by reformatting and/or altering NYSE Arca BBO and NYSE Arca Trades prior to retransmission without affecting the integrity of NYSE Arca BBO and NYSE Arca Trades and without rendering NYSE Arca BBO and NYSE Arca Trades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single Managed Non-Display Access Fee applies for clients receiving both NYSE Arca BBO and NYSE Arca Trades. The Exchange is also proposing in this filing to modify this application of the access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"Modification of the application of the access fee,"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Arca BBO and NYSE Arca Trades on a managed non-display basis would be subject to the same access fee of $ 750 per month, and the same non-display services fees, n12 as other non-display data recipients.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In order to harmonize its approach to fees for its market data products, the Exchange is simultaneously proposing to remove fees related to Managed Non-Display Services for NYSE ArcaBook and NYSE Arca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SR-NYSEArca-2016-01 and SR-NYSEArca-2016-03.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the Application of the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modify the application of the access fees for NYSE Arca BBO and NYSE Arca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NYSE Arca BBO data feed recipient currently pays a monthly $ 750 access fee for NYSE Arca BBO, and each NYSE Arca Trades data feed recipient currently pays a monthly $ 750 access fee for NYSE Arca Trades. A single access fee applies for data recipients receiving both NYSE Arca BBO and NYSE Arca Trades. n14 The Exchange proposes to amend the access fees so that recipients of NYSE Arca BBO and NYSE Arca Trades would be required to pay a separate access fees [sic] for NYSE Arca BBO ($ 750 per month) and NYSE Arca Trades ($ 750 per month). This change would have no impact on customers who receive only NYSE Arca BBO or only NYSE Arca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62188 (May 27, 2010), </w:t>
      </w:r>
      <w:hyperlink r:id="rId12" w:history="1">
        <w:r>
          <w:rPr>
            <w:rFonts w:ascii="arial" w:eastAsia="arial" w:hAnsi="arial" w:cs="arial"/>
            <w:b w:val="0"/>
            <w:i/>
            <w:strike w:val="0"/>
            <w:noProof w:val="0"/>
            <w:color w:val="0077CC"/>
            <w:position w:val="0"/>
            <w:sz w:val="20"/>
            <w:u w:val="single"/>
            <w:vertAlign w:val="baseline"/>
          </w:rPr>
          <w:t>75 FR 31484</w:t>
        </w:r>
      </w:hyperlink>
      <w:r>
        <w:rPr>
          <w:rFonts w:ascii="arial" w:eastAsia="arial" w:hAnsi="arial" w:cs="arial"/>
          <w:b w:val="0"/>
          <w:i w:val="0"/>
          <w:strike w:val="0"/>
          <w:noProof w:val="0"/>
          <w:color w:val="000000"/>
          <w:position w:val="0"/>
          <w:sz w:val="20"/>
          <w:u w:val="none"/>
          <w:vertAlign w:val="baseline"/>
        </w:rPr>
        <w:t xml:space="preserve"> (June 3, 2010) (SR-NYSEArca-2010-23).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to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$ 175,000 per month for an unlimited number of professional and non-professional users for each of NYSE Arca BBO and NYSE Arca Trades. A single Enterprise Fee applies for clients receiving both NYSE Arca BBO and NYSE Arca Trades. n15 The Exchange proposes to lower the enterprise fee to $ 170,000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NYSE Arca BBO and Trades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40,000 professional users who each received NYSE Arca Trades at $ 4 per month and NYSE Arca BBO at $ 4 per month, then the firm would pay $ 320,000 per month in professional user fees. However, under the current pricing structure, the fees would be capped at $ 175,000 and effective January, the fees would be capped at $ 170,000.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enterprise fee, the firm would pay a flat fee of $ 170,000 for an unlimited number of professional and non-professional users for both products. As is the case currently, a data recipient that pays the enterprise fee would not have to report the number of such users on a monthly basis. n16 However, every six months, a data recipient must provide the Exchange with a count of the total number of natural person users of each product, including both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NYSE Arca BBO and Trades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n17 in general, and sections 6(b)(4) and 6(b)(5) of the Act, n18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7"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7"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Arca BBO and NYSE Arca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 is reasonable to require data recipients to pay a modest additional fee for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w:t>
      </w:r>
      <w:r>
        <w:rPr>
          <w:rFonts w:ascii="arial" w:eastAsia="arial" w:hAnsi="arial" w:cs="arial"/>
          <w:b/>
          <w:i w:val="0"/>
          <w:strike w:val="0"/>
          <w:noProof w:val="0"/>
          <w:color w:val="000000"/>
          <w:position w:val="0"/>
          <w:sz w:val="20"/>
          <w:u w:val="none"/>
          <w:vertAlign w:val="baseline"/>
        </w:rPr>
        <w:t> [*4355] </w:t>
      </w:r>
      <w:r>
        <w:rPr>
          <w:rFonts w:ascii="arial" w:eastAsia="arial" w:hAnsi="arial" w:cs="arial"/>
          <w:b w:val="0"/>
          <w:i w:val="0"/>
          <w:strike w:val="0"/>
          <w:noProof w:val="0"/>
          <w:color w:val="000000"/>
          <w:position w:val="0"/>
          <w:sz w:val="20"/>
          <w:u w:val="none"/>
          <w:vertAlign w:val="baseline"/>
        </w:rPr>
        <w:t xml:space="preserve"> in 2013 by the Consolidated Tape Association ("CTA"). n19 The Exchange also notes that the OPRA Plan imposes a similar charge of $ 100 per connection for circuit connections in addition to the primary and backup connections.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8"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[sic] Plan at </w:t>
      </w:r>
      <w:hyperlink r:id="rId19"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As the Exchange noted in the 2013 Non-Display Filing, the Exchange determined at that time that its fee structure, which was then based primarily on counting both display and non-display devices, was no longer appropriate in light of market and technology developments. Since then, the Exchange also modified its approach to display and non-display fees with changes to the fees as reflected in the 2014 Non-Display Filing. n21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to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make the changes proposed to the application of access fees for NYSE Arca BBO and NYSE Arca Trades. The Exchange believes the proposed changes will make the application of the access fees to each of the products so that an access fee entitles a customer to receive, for the applicable product, a data feed or feeds. Specifically, data recipients that take the NYSE Arca BBO and/or NYSE Arca Trades products receive value from each product they choose to take. A data recipient that chooses to take multiple products (no recipient is required to take any of these products, or any specific combination of them) uses each product in a different way and therefore obtains different value from each. The Exchange believes that each product has a separate and distinct value that is appropriate to reflect in a separate access fee. Finally, the requirement to pay separate access fees for each market data product is equitable and not unfairly discriminatory because it would apply to all data recipients and appropriately reflects the value of each product to those who choose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to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enterprise fees for NYSE Arca BBO and NYSE Arca Trades are reasonable because they could result in a fee reduction for data recipients with a large number of professional and nonprofessional users, as described in the example above. If a data recipient has a smaller number of professional users of NYSE Arca BBO and/or NYSE Arca Trades, then it may continue to use the per user fee structure. By reducing prices for data recipients with a large number of professional and non-professional users, the Exchange believes that more data recipients may choose to offer NYSE Arca BBO and NYSE Arca Trades, thereby expanding the distribution of this market data for the benefit of investors. The Exchange also believes that offering an enterprise fee expands the range of options for offering NYSE Arca BBO and NYSE Arca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BBO and NYSE Arca Trades are entirely optional. The Exchange is not required to make NYSE Arca BBO and NYSE Arca Trades available or to offer any specific pricing alternatives to any customers, nor is any firm required to purchase NYSE Arca BBO and NYSE Arca Trades. Firms that do purchase NYSE Arca BBO and NYSE Arca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BBO and NYSE Arca Trades or any other similar products are attractively priced or not.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Arca BBO and NYSE Arca Trades at the new prices have a variety of alternative market data products from which to choose, n23 or if NYSE Arca BBO and NYSE Arca Trades do not provide sufficient value to firms as offered based on the uses those firms have or planned to make of them, such firms may simply choose to conduct their business operations in ways that do not use NYSE Arca BBO and NYSE Arca Trades or use them at different levels or in different configurations. The Exchange notes that broker-dealers are not required to purchase proprietary market data to comply with their best execution obligations.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as reprinted in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w:t>
      </w:r>
      <w:r>
        <w:rPr>
          <w:rFonts w:ascii="arial" w:eastAsia="arial" w:hAnsi="arial" w:cs="arial"/>
          <w:b/>
          <w:i w:val="0"/>
          <w:strike w:val="0"/>
          <w:noProof w:val="0"/>
          <w:color w:val="000000"/>
          <w:position w:val="0"/>
          <w:sz w:val="20"/>
          <w:u w:val="none"/>
          <w:vertAlign w:val="baseline"/>
        </w:rPr>
        <w:t> [*4356] </w:t>
      </w:r>
      <w:r>
        <w:rPr>
          <w:rFonts w:ascii="arial" w:eastAsia="arial" w:hAnsi="arial" w:cs="arial"/>
          <w:b w:val="0"/>
          <w:i w:val="0"/>
          <w:strike w:val="0"/>
          <w:noProof w:val="0"/>
          <w:color w:val="000000"/>
          <w:position w:val="0"/>
          <w:sz w:val="20"/>
          <w:u w:val="none"/>
          <w:vertAlign w:val="baseline"/>
        </w:rPr>
        <w:t xml:space="preserve"> national market system for trading equity securities.' "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0"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1"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n28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Concept Release on Equity Market Structure, Securities Exchange Act Release No. 61358 (Jan. 14, 2010), </w:t>
      </w:r>
      <w:hyperlink r:id="rId23"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3"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 BBO or NYSE Arca Trades unless their customers request it, and </w:t>
      </w:r>
      <w:r>
        <w:rPr>
          <w:rFonts w:ascii="arial" w:eastAsia="arial" w:hAnsi="arial" w:cs="arial"/>
          <w:b/>
          <w:i w:val="0"/>
          <w:strike w:val="0"/>
          <w:noProof w:val="0"/>
          <w:color w:val="000000"/>
          <w:position w:val="0"/>
          <w:sz w:val="20"/>
          <w:u w:val="none"/>
          <w:vertAlign w:val="baseline"/>
        </w:rPr>
        <w:t> [*4357] </w:t>
      </w:r>
      <w:r>
        <w:rPr>
          <w:rFonts w:ascii="arial" w:eastAsia="arial" w:hAnsi="arial" w:cs="arial"/>
          <w:b w:val="0"/>
          <w:i w:val="0"/>
          <w:strike w:val="0"/>
          <w:noProof w:val="0"/>
          <w:color w:val="000000"/>
          <w:position w:val="0"/>
          <w:sz w:val="20"/>
          <w:u w:val="none"/>
          <w:vertAlign w:val="baseline"/>
        </w:rPr>
        <w:t xml:space="preserve"> customers will not elect to pay the proposed fees unless NYSE Arca BBO and NYSE Arca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Arca and NYSE Arca's affiliates New York Stock Exchange LLC ("NYSE")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n30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5"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6"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7"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n32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 </w:t>
      </w:r>
      <w:r>
        <w:rPr>
          <w:rFonts w:ascii="arial" w:eastAsia="arial" w:hAnsi="arial" w:cs="arial"/>
          <w:b/>
          <w:i w:val="0"/>
          <w:strike w:val="0"/>
          <w:noProof w:val="0"/>
          <w:color w:val="000000"/>
          <w:position w:val="0"/>
          <w:sz w:val="20"/>
          <w:u w:val="none"/>
          <w:vertAlign w:val="baseline"/>
        </w:rPr>
        <w:t> [*4358]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Arca BBO and NYSE Arca Trades,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n33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 to the fees for NYSE Arca BBO and NYSE Arca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n34 of the Act and subparagraph (f)(2) of Rule 19b-4 n35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n36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SR-NYSEArca-2016-09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SR-NYSEArca-2016-09.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will also be available for inspection and copying at the principal office of the Exchange. All comments received will be posted without change; the Commission does not edit personal identifying information from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submit only information that you wish to make available publicly. All submissions should refer to File Number SR-NYSEArca-2016-09 and should be submitted on or before February 16,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authority.&lt;37&gt;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2016-01393 Filed 1-25-16;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4353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074-YWG0-006W-80R6-00000-00&amp;context=" TargetMode="External" /><Relationship Id="rId13" Type="http://schemas.openxmlformats.org/officeDocument/2006/relationships/hyperlink" Target="https://advance.lexis.com/api/document?collection=administrative-codes&amp;id=urn:contentItem:585J-J500-006W-84DC-00000-00&amp;context=" TargetMode="External" /><Relationship Id="rId14" Type="http://schemas.openxmlformats.org/officeDocument/2006/relationships/hyperlink" Target="https://advance.lexis.com/api/document?collection=administrative-codes&amp;id=urn:contentItem:595R-50V0-006W-83S6-00000-00&amp;context=" TargetMode="External" /><Relationship Id="rId15" Type="http://schemas.openxmlformats.org/officeDocument/2006/relationships/hyperlink" Target="https://advance.lexis.com/api/document?collection=administrative-codes&amp;id=urn:contentItem:5D41-YDV0-006W-83CB-00000-00&amp;context=" TargetMode="External" /><Relationship Id="rId16" Type="http://schemas.openxmlformats.org/officeDocument/2006/relationships/hyperlink" Target="https://advance.lexis.com/api/document?collection=administrative-codes&amp;id=urn:contentItem:5F27-YGX0-006W-84SJ-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administrative-codes&amp;id=urn:contentItem:58YY-BD30-006W-80HW-00000-00&amp;context=" TargetMode="External" /><Relationship Id="rId19" Type="http://schemas.openxmlformats.org/officeDocument/2006/relationships/hyperlink" Target="http://www.opradata.com/pdf/fee_schedule.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03V-DT30-YB0V-T01B-00000-00&amp;context=" TargetMode="External" /><Relationship Id="rId21" Type="http://schemas.openxmlformats.org/officeDocument/2006/relationships/hyperlink" Target="http://www.sec.gov/rules/concept/s72899/buck1.htm" TargetMode="External" /><Relationship Id="rId22" Type="http://schemas.openxmlformats.org/officeDocument/2006/relationships/hyperlink" Target="http://www.justice.gov/iso/opa/atr/speeches/2011/at-speech-110516.html" TargetMode="External" /><Relationship Id="rId23" Type="http://schemas.openxmlformats.org/officeDocument/2006/relationships/hyperlink" Target="https://advance.lexis.com/api/document?collection=administrative-codes&amp;id=urn:contentItem:4Y6T-4FW0-006W-80SB-00000-00&amp;context=" TargetMode="External" /><Relationship Id="rId24" Type="http://schemas.openxmlformats.org/officeDocument/2006/relationships/hyperlink" Target="https://www.arcavision.com/Arcavision/arcalogin.jsp" TargetMode="External" /><Relationship Id="rId25" Type="http://schemas.openxmlformats.org/officeDocument/2006/relationships/hyperlink" Target="https://advance.lexis.com/api/document?collection=administrative-codes&amp;id=urn:contentItem:5C6V-V6N0-006W-80W6-00000-00&amp;context=" TargetMode="External" /><Relationship Id="rId26" Type="http://schemas.openxmlformats.org/officeDocument/2006/relationships/hyperlink" Target="https://advance.lexis.com/api/document?collection=administrative-codes&amp;id=urn:contentItem:512C-NGP0-006W-82VF-00000-00&amp;context=" TargetMode="External" /><Relationship Id="rId27" Type="http://schemas.openxmlformats.org/officeDocument/2006/relationships/hyperlink" Target="https://advance.lexis.com/api/document?collection=administrative-codes&amp;id=urn:contentItem:512C-NGP0-006W-82VH-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Y3-70S0-006W-84XR-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4353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