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4748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017, Part II, Wednesday, January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4748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Commercial Prerinse Spray Valves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EERE-2014-BT-STD-0027]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1904-AD31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commercial prerinse spray valves (CPSVs). EPCA also requires the U.S. Department of Energy (DOE) to periodically determine whether more-stringent standards would be technologically feasible and economically justified, and would save a significant amount of energy. In this final rule, DOE is adopting more-stringent energy conservation standards for commercial prerinse spray valves because DOE has determined that the amended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Commercial Prerinse Spray 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General Rulemaking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Certification, Compliance, Enforcement and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and Water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Market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Spray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Number of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Engineering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Linear Relationship Spray Force and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Baseline and Max-Tech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CPSV NOPR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Availability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Manufacturing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and Water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and Water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Water and Wastewater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Rebuttable-Presumption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Sensitivity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Energy and Water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GRIM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GRIM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Commercial Prerinse Spray Valve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Amended Standards </w:t>
      </w:r>
      <w:r>
        <w:rPr>
          <w:rFonts w:ascii="arial" w:eastAsia="arial" w:hAnsi="arial" w:cs="arial"/>
          <w:b/>
          <w:i w:val="0"/>
          <w:strike w:val="0"/>
          <w:noProof w:val="0"/>
          <w:color w:val="000000"/>
          <w:position w:val="0"/>
          <w:sz w:val="20"/>
          <w:u w:val="none"/>
          <w:vertAlign w:val="baseline"/>
        </w:rPr>
        <w:t> [*4749]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the Significant Issues Raised by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 Submitted by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Description of Steps To Minimize Impacts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Energy Policy and Conservation Act of 1975 (EPCA), n1 sets forth a variety of provisions designed to improve energy efficiency. Part B of title III established the "Energy Conservation Program for Consumer Products Other Than Automobiles." These products include commercial prerinse spray valves (CPSVs), the subject of this document.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All references to EPCA in this document refer to the statute as amended through the Energy Efficiency Improvements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Because Congress included commercial prerinse spray valves in Part B of Title III of EPCA, the consumer product provisions of Part B (not the industrial equipment provisions of Part C) apply to commercial prerinse spray valves. However, because commercial prerinse spray valves are commonly considered to be commercial equipment, as a matter of administrative convenience and to minimize confusion among interested parties, DOE placed the requirements for commercial prerinse spray valves into subpart O of 10 CFR part 431. Part 431 contains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and industrial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8"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significant conservation of energy. (</w:t>
      </w:r>
      <w:hyperlink r:id="rId8"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8"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 Not later than 2 years after such a document is issued, DOE must publish a final rule amending the standard for the product. (</w:t>
      </w:r>
      <w:hyperlink r:id="rId8" w:history="1">
        <w:r>
          <w:rPr>
            <w:rFonts w:ascii="arial" w:eastAsia="arial" w:hAnsi="arial" w:cs="arial"/>
            <w:b w:val="0"/>
            <w:i/>
            <w:strike w:val="0"/>
            <w:noProof w:val="0"/>
            <w:color w:val="0077CC"/>
            <w:position w:val="0"/>
            <w:sz w:val="20"/>
            <w:u w:val="single"/>
            <w:vertAlign w:val="baseline"/>
          </w:rPr>
          <w:t>42 U.S.C. 6295(m)(3)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is adopting amended energy conservation standards for commercial prerinse spray valves. The amended standards, which are expressed in terms of the flow rate (in gallons per minute, gpm) for each product class (defined by spray force in ounce-force, ozf), are shown in Table I.1. The amended standards will apply to all classes of commercial prerinse spray valves listed in Table I.1 that are manufactured in, or imported into, the United States on or after January 28,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I.1--Amended Energy Conservation Standards for Commercial Prerinse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Valves</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78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Product Class 1 (&lt;/= 5.0 ozf)</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Product Class 2 (&gt;5.0 ozf and &lt;/= 8.0 ozf)</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7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Product Class 3 (&gt;8.0 ozf)</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amended standards on commercial prerinse spray valves, as measured by the average life-cycle cost (LCC) savings and the simple payback period (PBP). n3 The average LCC savings are non-negative for all product classes. The PBP for all product classes is also less than the projected average CPSV lifetime of approximately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no-new-standards case efficiency distribution, which depicts the CPSV market in the compliance year (see section IV.F). The simple PBP, which is designed to compare specific efficiency levels, is measured relative to the baseline CPSV model (see section IV.C.1).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Amended Energy Conservation Standards on Consumers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Prerinse Spray Valves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Product Class 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Product Class 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Product Class 3 (&gt;8.0 ozf)</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Product classes 1 and 2 have zero LCC savings because the no-new-standards case efficiency distribution (see section IV.F.9) shows the entire CPSV market at or above the amended standard for these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product classes 1 and 2, because there is no change in the market resulting from the standard, DOE represented these PBPs as zero. Additionally, in all product classes, because more efficient units do not cost more up front, consumers begin saving money as soon as a more efficient product is installed (the payback is immediate).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amended standards on consumers is described in more detail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industry net present value (INPV) is the sum of the discounted cash flows to the industry from the base year through the end of the analysis period (2015 through 2048). Using a real discount rate of 6.9 percent, n4 DOE estimates that the INPV for manufacturers of commercial prerinse spray valves in the case without amended standards (referred to as the </w:t>
      </w:r>
      <w:r>
        <w:rPr>
          <w:rFonts w:ascii="arial" w:eastAsia="arial" w:hAnsi="arial" w:cs="arial"/>
          <w:b/>
          <w:i w:val="0"/>
          <w:strike w:val="0"/>
          <w:noProof w:val="0"/>
          <w:color w:val="000000"/>
          <w:position w:val="0"/>
          <w:sz w:val="20"/>
          <w:u w:val="none"/>
          <w:vertAlign w:val="baseline"/>
        </w:rPr>
        <w:t> [*4750] </w:t>
      </w:r>
      <w:r>
        <w:rPr>
          <w:rFonts w:ascii="arial" w:eastAsia="arial" w:hAnsi="arial" w:cs="arial"/>
          <w:b w:val="0"/>
          <w:i w:val="0"/>
          <w:strike w:val="0"/>
          <w:noProof w:val="0"/>
          <w:color w:val="000000"/>
          <w:position w:val="0"/>
          <w:sz w:val="20"/>
          <w:u w:val="none"/>
          <w:vertAlign w:val="baseline"/>
        </w:rPr>
        <w:t xml:space="preserve"> no-new-standards case) is $ 8.6 million in 2014$ . Under the amended standards adopted in this final rule, DOE expects that manufacturers may lose up to 13.1 percent of this INPV, which is equivalent to approximately $ 1.1 million. Additionally, based on its analysis of available information, DOE does not expect significant impacts on manufacturing capacity or loss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discount rate is an industry average discount rate, which was estimated using publically available industry financial data for companies that sell CPSVs in the U.S. Data sources are listed in section IV.J.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amended standards on manufacturers is described in more detail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National Benefits and Costs n5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amended energy conservation standards for commercial prerinse spray valves would save a significant amount of energy and water. Relative to the no-new-standards case, the lifetime energy savings for commercial prerinse spray valves purchased in the 30-year period that begins in the compliance year (2019-2048) amounts to 0.10 quadrillion Btu (quads) n6 and 119.57 billion gallons of water. This represents a savings of 8 percent relative to the energy use of these products in the no-new-standards case. This also represents a savings of 8 percent relative to the water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standards for commercial prerinse spray valves ranges from $ 0.72 billion (at a 7-percent discount rate) to $ 1.48 billion (at a 3-percent discount rate). This NPV expresses the estimated total value of future operating-cost savings minus the estimated increased product costs for commercial prerinse spray valves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standards for commercial prerinse spray valves are projected to yield significant environmental benefits. DOE estimates that the standards will result in cumulative emission reductions (from 2019-2048) of 5.87 million metric tons (Mt) n7 of carbon dioxide (CO[2]), 1.79 thousand tons of sulfur dioxide (SO[2]), 14.70 thousand tons of nitrogen oxides (NO[X]), 47.37 thousand tons of methane (CH[4]), 0.04 thousand tons of nitrous oxide (N[2] O), and 0.01 tons of mercury (Hg). n8 The cumulative reduction in CO[2] emissions through 2030 amounts to 1.86 Mt, which is equivalent to the emissions resulting from the annual electricity use of about 255,000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metric ton is equivalent to 1.1 short tons. Results for NO[X] and Hg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working group. n9 The derivation of the SCC values is discussed in section IV.L of this document. Using discount rates appropriate for each set of SCC values, DOE estimates that the net present monetary value of the CO[2] emissions reduction (not including CO[2] equivalent emissions of other gases with global warming potential) is between $ 0.04 billion and $ 0.59 billion. DOE also estimates that the net present monetary value of the NO[X] emissions reduction is between $ 24 and $ 53 million at a 7-percent discount rate, and between $ 52 and $ 117 million at a 3-percent discount rate.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9"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0"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amended standards for commercial prerinse spray valves.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Amended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Commercial Prerinse Spray Valves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($ 40.0/metric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($ 62.3/metric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($ 117/metric 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Conversion Costs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to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 + +</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commercial prerinse spray valves shipped in 2019-2048. These results include benefits to consumers which accrue after 2048 from the products purchased in 2019-2048.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0"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DOE is presenting a national benefit-per-ton estimate for particulate matter emitted from the Electric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amended standards, for commercial prerinse spray valves sold in 2019-2048, can also be expressed in terms of annualized values. The monetary values for the total annualized net benefits are the sum of: (1) The annualized national economic value of the benefits from consumer operation of products that meet the amended standards (consisting primarily of operating cost savings from using less energy and water, minus increases in product purchase and installation costs, which is another way of representing consumer NPV); and (2) the annualized monetary value of the benefits of CO[2] and NO[X] emission reductions.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commercial prerinse spray valves shipped in 2019-2048. Because CO[2] emissions have a very long residence time in the atmosphere, n12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amended standards are shown in Table I.4. Using a 7-percent discount rate for benefits and costs other than CO[2] reduction (for which DOE used a 3-percent discount rate, along with the average SCC series that has a value of $ 40.0 per metric ton in 2015), there are no increased product costs associated with the standards adopted in this final rule. The benefits under the 7% discount rate case are $ 71 million per year in reduced product operating costs, $ 11 million per year in CO[2] reductions, and $ 2 million to $ 5 million per year in reduced NO[X] emissions. In this case, the net benefit amounts to approximately $ 84 million per year. Using a 3-percent discount rate for all benefits and costs as well as the average SCC series that has a value of $ 40.0 per metric ton in 2015, there are still no increased product costs associated with the amended standards in this rule, while the benefits are $ 82 million per year in reduced operating costs, $ 11 million in CO[2] reductions, and $ 3 million to $ 7 million in reduced NO[X] emissions. In this case (3% discount rate), the net benefit amounts to approximately $ 96 million per year. </w:t>
      </w:r>
      <w:r>
        <w:rPr>
          <w:rFonts w:ascii="arial" w:eastAsia="arial" w:hAnsi="arial" w:cs="arial"/>
          <w:b/>
          <w:i w:val="0"/>
          <w:strike w:val="0"/>
          <w:noProof w:val="0"/>
          <w:color w:val="000000"/>
          <w:position w:val="0"/>
          <w:sz w:val="20"/>
          <w:u w:val="none"/>
          <w:vertAlign w:val="baseline"/>
        </w:rPr>
        <w:t> [*4752]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0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Amended Standards for Commercial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Prerinse Spray Valves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to 101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 to 118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to 126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 to 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 to 0.13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 to 0.13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 + +</w:t>
            </w: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 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 0.08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 0.08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 + +</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to 101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 to 118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to 126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commercial prerinse spray valves shipped in 2019-2048. These results include benefits to consumers which accrue after 2048 from the products purchased in 2019-2048. The results account for the incremental variable and fixed costs incurred by manufacturers due to the amended standard, some of which may be incurred in preparation for the rule. The primary, low benefits, and high benefits estimates utilize projections of energy prices from the Annual Energy Outlook 2015 (AEO2015) reference case, low estimate, and high estimate,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percent, 3 percent, and 2.5 percent discount rates, respectively. The fourth case represents the 95th percentile of the SCC distribution calculated using a 3 percent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0"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series corresponding to the average SCC with a 3-percent discount rate ($ 40.0/metric ton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lower value of the range represents costs associated with the Sourced Components conversion cost scenario. The upper value represents costs for the Fabricated Components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 Total benefits for both the 3 percent and 7 percent cases are derived using the series corresponding to the average SCC with 3 percent discount rate. In the rows labeled "7% plus CO2 range" and "3% plus CO2 range," the operating cost and NO[X] benefits are calculated using the labeled discount rate, and those values are added to the full range of CO2 values. Manufacturer Conversion Costs are not included in the net benefits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amended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conducted for this final rule, DOE found the benefits to the nation of the standards (energy and water savings, consumer LCC savings, positive NPV of consumer benefit, and emission reductions) outweigh the burdens (loss of INPV).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briefly discusses the statutory authority underlying this final rule, as well as some of the relevant historical background related to the establishment of standards for commercial prerinse spray valves.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B of EPCA established the Energy Conservation Program for Consumer Products Other Than Automobiles. As part of this program, EPCA prescribed energy conservation standards for commercial prerinse spray valves, which are the subject of this rulemaking. (</w:t>
      </w:r>
      <w:hyperlink r:id="rId11" w:history="1">
        <w:r>
          <w:rPr>
            <w:rFonts w:ascii="arial" w:eastAsia="arial" w:hAnsi="arial" w:cs="arial"/>
            <w:b w:val="0"/>
            <w:i/>
            <w:strike w:val="0"/>
            <w:noProof w:val="0"/>
            <w:color w:val="0077CC"/>
            <w:position w:val="0"/>
            <w:sz w:val="20"/>
            <w:u w:val="single"/>
            <w:vertAlign w:val="baseline"/>
          </w:rPr>
          <w:t>42 U.S.C. 6292(dd)</w:t>
        </w:r>
      </w:hyperlink>
      <w:r>
        <w:rPr>
          <w:rFonts w:ascii="arial" w:eastAsia="arial" w:hAnsi="arial" w:cs="arial"/>
          <w:b w:val="0"/>
          <w:i w:val="0"/>
          <w:strike w:val="0"/>
          <w:noProof w:val="0"/>
          <w:color w:val="000000"/>
          <w:position w:val="0"/>
          <w:sz w:val="20"/>
          <w:u w:val="none"/>
          <w:vertAlign w:val="baseline"/>
        </w:rPr>
        <w:t xml:space="preserve">) Under </w:t>
      </w:r>
      <w:hyperlink r:id="rId8"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DOE must </w:t>
      </w:r>
      <w:r>
        <w:rPr>
          <w:rFonts w:ascii="arial" w:eastAsia="arial" w:hAnsi="arial" w:cs="arial"/>
          <w:b/>
          <w:i w:val="0"/>
          <w:strike w:val="0"/>
          <w:noProof w:val="0"/>
          <w:color w:val="000000"/>
          <w:position w:val="0"/>
          <w:sz w:val="20"/>
          <w:u w:val="none"/>
          <w:vertAlign w:val="baseline"/>
        </w:rPr>
        <w:t> [*4753] </w:t>
      </w:r>
      <w:r>
        <w:rPr>
          <w:rFonts w:ascii="arial" w:eastAsia="arial" w:hAnsi="arial" w:cs="arial"/>
          <w:b w:val="0"/>
          <w:i w:val="0"/>
          <w:strike w:val="0"/>
          <w:noProof w:val="0"/>
          <w:color w:val="000000"/>
          <w:position w:val="0"/>
          <w:sz w:val="20"/>
          <w:u w:val="none"/>
          <w:vertAlign w:val="baseline"/>
        </w:rPr>
        <w:t xml:space="preserve"> periodically review its already established energy conservation standards for a covered product no later than 6 years from the issuance of a final rule establishing or amending a standard for the product. After publishing a notice of proposed rulemaking (NOPR) including new proposed standards, DOE must publish a final rule amending the standard for the product no later than 2 years after the NOPR is issued. (</w:t>
      </w:r>
      <w:hyperlink r:id="rId8" w:history="1">
        <w:r>
          <w:rPr>
            <w:rFonts w:ascii="arial" w:eastAsia="arial" w:hAnsi="arial" w:cs="arial"/>
            <w:b w:val="0"/>
            <w:i/>
            <w:strike w:val="0"/>
            <w:noProof w:val="0"/>
            <w:color w:val="0077CC"/>
            <w:position w:val="0"/>
            <w:sz w:val="20"/>
            <w:u w:val="single"/>
            <w:vertAlign w:val="baseline"/>
          </w:rPr>
          <w:t>42 U.S.C. 6295(m)(3)(A)</w:t>
        </w:r>
      </w:hyperlink>
      <w:r>
        <w:rPr>
          <w:rFonts w:ascii="arial" w:eastAsia="arial" w:hAnsi="arial" w:cs="arial"/>
          <w:b w:val="0"/>
          <w:i w:val="0"/>
          <w:strike w:val="0"/>
          <w:noProof w:val="0"/>
          <w:color w:val="000000"/>
          <w:position w:val="0"/>
          <w:sz w:val="20"/>
          <w:u w:val="none"/>
          <w:vertAlign w:val="baseline"/>
        </w:rPr>
        <w:t xml:space="preserve"> This final rule fulfills this statutory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Secretary of Energy (Secretary) or the Federal Trade Commission (FTC), as appropriate, may prescribe labeling requirements for commercial prerinse spray valves. (</w:t>
      </w:r>
      <w:hyperlink r:id="rId12" w:history="1">
        <w:r>
          <w:rPr>
            <w:rFonts w:ascii="arial" w:eastAsia="arial" w:hAnsi="arial" w:cs="arial"/>
            <w:b w:val="0"/>
            <w:i/>
            <w:strike w:val="0"/>
            <w:noProof w:val="0"/>
            <w:color w:val="0077CC"/>
            <w:position w:val="0"/>
            <w:sz w:val="20"/>
            <w:u w:val="single"/>
            <w:vertAlign w:val="baseline"/>
          </w:rPr>
          <w:t>42 U.S.C. 6294(a)(5)(A)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certain criteria and conditions, DOE is required to develop test procedures to measure the energy efficiency, energy use, or estimated annual operating cost of each covered product. (</w:t>
      </w:r>
      <w:hyperlink r:id="rId13" w:history="1">
        <w:r>
          <w:rPr>
            <w:rFonts w:ascii="arial" w:eastAsia="arial" w:hAnsi="arial" w:cs="arial"/>
            <w:b w:val="0"/>
            <w:i/>
            <w:strike w:val="0"/>
            <w:noProof w:val="0"/>
            <w:color w:val="0077CC"/>
            <w:position w:val="0"/>
            <w:sz w:val="20"/>
            <w:u w:val="single"/>
            <w:vertAlign w:val="baseline"/>
          </w:rPr>
          <w:t>42 U.S.C. 6293(b)(3)</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3"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8"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commercial prerinse spray valves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O. DOE released a pre-publication notice of the test procedure final rule for commercial prerinse spray valves (CPSV TP final rule) on December 18, 2015.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pre-publication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CPSV TP final rule issued by DOE is available on DOE's Web site at </w:t>
      </w:r>
      <w:hyperlink r:id="rId14" w:history="1">
        <w:r>
          <w:rPr>
            <w:rFonts w:ascii="arial" w:eastAsia="arial" w:hAnsi="arial" w:cs="arial"/>
            <w:b w:val="0"/>
            <w:i/>
            <w:strike w:val="0"/>
            <w:noProof w:val="0"/>
            <w:color w:val="0077CC"/>
            <w:position w:val="0"/>
            <w:sz w:val="20"/>
            <w:u w:val="single"/>
            <w:vertAlign w:val="baseline"/>
          </w:rPr>
          <w:t>http://energy.gov/sites/prod/files/2015/12/f27/CPSV%20TP%20Final%20Rule.pdf</w:t>
        </w:r>
      </w:hyperlink>
      <w:r>
        <w:rPr>
          <w:rFonts w:ascii="arial" w:eastAsia="arial" w:hAnsi="arial" w:cs="arial"/>
          <w:b w:val="0"/>
          <w:i w:val="0"/>
          <w:strike w:val="0"/>
          <w:noProof w:val="0"/>
          <w:color w:val="000000"/>
          <w:position w:val="0"/>
          <w:sz w:val="20"/>
          <w:u w:val="none"/>
          <w:vertAlign w:val="baseline"/>
        </w:rPr>
        <w:t xml:space="preserve">. Following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CPSV TP final rule will be available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 EERE-2014.BT-TP-0055.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commercial prerinse spray valves. Any new or amended standard for a covered product must be designed to achieve the maximum improvement in energy efficiency that is technologically feasible and economically justified. (</w:t>
      </w:r>
      <w:hyperlink r:id="rId8"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8"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Moreover, DOE may not prescribe a standard for certain products, including commercial prerinse spray valves, if no test procedure has been established for the product (</w:t>
      </w:r>
      <w:hyperlink r:id="rId8"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In deciding whether a proposed standard is economically justified, DOE must determine whether the benefits of the standard exceed its burdens. (</w:t>
      </w:r>
      <w:hyperlink r:id="rId8"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8"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and water savings the consumer will receive during the first year that the standard applies, as calculated under the applicable test procedure. (</w:t>
      </w:r>
      <w:hyperlink r:id="rId8"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8"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at the time of the Secretary's finding. (</w:t>
      </w:r>
      <w:hyperlink r:id="rId8"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products that has the same function or intended use if DOE determines that products within such group: (1) Consume a different kind of energy from that consumed by other covered products within such type (or class); or (2) have a capacity or other performance-related feature which other products within such type (or class) do not have and such feature justifies a higher or lower standard. (</w:t>
      </w:r>
      <w:hyperlink r:id="rId8"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shall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8"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6"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-(c)) California, however, has a statutory exemption to preemption for commercial prerinse spray valve standards adopted by the California Energy Commission before January 1, 2005. (</w:t>
      </w:r>
      <w:hyperlink r:id="rId16" w:history="1">
        <w:r>
          <w:rPr>
            <w:rFonts w:ascii="arial" w:eastAsia="arial" w:hAnsi="arial" w:cs="arial"/>
            <w:b w:val="0"/>
            <w:i/>
            <w:strike w:val="0"/>
            <w:noProof w:val="0"/>
            <w:color w:val="0077CC"/>
            <w:position w:val="0"/>
            <w:sz w:val="20"/>
            <w:u w:val="single"/>
            <w:vertAlign w:val="baseline"/>
          </w:rPr>
          <w:t>42 U.S.C. 6297(c)(7)</w:t>
        </w:r>
      </w:hyperlink>
      <w:r>
        <w:rPr>
          <w:rFonts w:ascii="arial" w:eastAsia="arial" w:hAnsi="arial" w:cs="arial"/>
          <w:b w:val="0"/>
          <w:i w:val="0"/>
          <w:strike w:val="0"/>
          <w:noProof w:val="0"/>
          <w:color w:val="000000"/>
          <w:position w:val="0"/>
          <w:sz w:val="20"/>
          <w:u w:val="none"/>
          <w:vertAlign w:val="baseline"/>
        </w:rPr>
        <w:t xml:space="preserve">) As a result, while federal commercial prerinse spray valve standards, including any amended standards that may result from this rulemaking, apply in California, California's commercial prerinse spray valve standards also apply as they are exempt from preemption. DOE may also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6"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[*4754]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Public Law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8"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8"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8"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recently updated test procedures for commercial prerinse spray valves do not address standby mode and off mode energy use, because they are not applicable for this product. Accordingly, in this rulemaking, DOE only addresses active mode energy consumption because commercial prerinse spray valves only consume energy and water in active mode.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on October 18, 2005 (2005 CPSV final rule), DOE codified the current energy conservation standard for commercial prerinse spray valves that was prescribed by the Energy Policy Act of 2005 (EPAct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(August 8, 2005). </w:t>
      </w:r>
      <w:hyperlink r:id="rId17" w:history="1">
        <w:r>
          <w:rPr>
            <w:rFonts w:ascii="arial" w:eastAsia="arial" w:hAnsi="arial" w:cs="arial"/>
            <w:b w:val="0"/>
            <w:i/>
            <w:strike w:val="0"/>
            <w:noProof w:val="0"/>
            <w:color w:val="0077CC"/>
            <w:position w:val="0"/>
            <w:sz w:val="20"/>
            <w:u w:val="single"/>
            <w:vertAlign w:val="baseline"/>
          </w:rPr>
          <w:t>70 FR 60407, 60410.</w:t>
        </w:r>
      </w:hyperlink>
      <w:r>
        <w:rPr>
          <w:rFonts w:ascii="arial" w:eastAsia="arial" w:hAnsi="arial" w:cs="arial"/>
          <w:b w:val="0"/>
          <w:i w:val="0"/>
          <w:strike w:val="0"/>
          <w:noProof w:val="0"/>
          <w:color w:val="000000"/>
          <w:position w:val="0"/>
          <w:sz w:val="20"/>
          <w:u w:val="none"/>
          <w:vertAlign w:val="baseline"/>
        </w:rPr>
        <w:t xml:space="preserve"> The 2005 CPSV final rule established that all commercial prerinse spray valves manufactured on or after January 1, 2006, must have a flow rate of not more than 1.6 gpm.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Commercial Prerinse Spray Valves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the current rulemaking on September 11, 2014, by issuing an analytical Framework document (2014 CPSV Framework document) that explained the issues, analyses, and analytical approaches that DOE anticipated using to develop energy conservation standards for commercial prerinse spray valves. </w:t>
      </w:r>
      <w:hyperlink r:id="rId18" w:history="1">
        <w:r>
          <w:rPr>
            <w:rFonts w:ascii="arial" w:eastAsia="arial" w:hAnsi="arial" w:cs="arial"/>
            <w:b w:val="0"/>
            <w:i/>
            <w:strike w:val="0"/>
            <w:noProof w:val="0"/>
            <w:color w:val="0077CC"/>
            <w:position w:val="0"/>
            <w:sz w:val="20"/>
            <w:u w:val="single"/>
            <w:vertAlign w:val="baseline"/>
          </w:rPr>
          <w:t>79 FR 54213.</w:t>
        </w:r>
      </w:hyperlink>
      <w:r>
        <w:rPr>
          <w:rFonts w:ascii="arial" w:eastAsia="arial" w:hAnsi="arial" w:cs="arial"/>
          <w:b w:val="0"/>
          <w:i w:val="0"/>
          <w:strike w:val="0"/>
          <w:noProof w:val="0"/>
          <w:color w:val="000000"/>
          <w:position w:val="0"/>
          <w:sz w:val="20"/>
          <w:u w:val="none"/>
          <w:vertAlign w:val="baseline"/>
        </w:rPr>
        <w:t xml:space="preserve"> DOE held a public meeting on September 30, 2014 to discuss the 2014 CPSV Framework document, and solicited comments from interested parties regarding DOE's analytical approach. DOE received comments that helped identify and resolve issues pertaining to the 2014 CPSV Framework document relevant to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a NOPR for the CPSV energy conservation standards rulemaking on July 9, 2015 (CPSV NOPR). </w:t>
      </w:r>
      <w:hyperlink r:id="rId19" w:history="1">
        <w:r>
          <w:rPr>
            <w:rFonts w:ascii="arial" w:eastAsia="arial" w:hAnsi="arial" w:cs="arial"/>
            <w:b w:val="0"/>
            <w:i/>
            <w:strike w:val="0"/>
            <w:noProof w:val="0"/>
            <w:color w:val="0077CC"/>
            <w:position w:val="0"/>
            <w:sz w:val="20"/>
            <w:u w:val="single"/>
            <w:vertAlign w:val="baseline"/>
          </w:rPr>
          <w:t>80 FR 39486.</w:t>
        </w:r>
      </w:hyperlink>
      <w:r>
        <w:rPr>
          <w:rFonts w:ascii="arial" w:eastAsia="arial" w:hAnsi="arial" w:cs="arial"/>
          <w:b w:val="0"/>
          <w:i w:val="0"/>
          <w:strike w:val="0"/>
          <w:noProof w:val="0"/>
          <w:color w:val="000000"/>
          <w:position w:val="0"/>
          <w:sz w:val="20"/>
          <w:u w:val="none"/>
          <w:vertAlign w:val="baseline"/>
        </w:rPr>
        <w:t xml:space="preserve"> DOE held a public meeting on July 28, 2015 to present the CPSV NOPR, which included the engineering analysis, downstream economic analyses, manufacturer impact analysis, and proposed standards. In the public meeting, DOE also sought comments from interested parties on these subjects, and facilitated interested parties' involvement in the rulemaking. At the public meeting, and during the comment period, DOE received comments that helped DOE identify issues and refine the analyses presented in the CPSV NOPR for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issues raised in response to the CPSV NOPR, DOE published a notice of data availability (NODA) for the CPSV energy conservation standards rulemaking on November 20, 2015 (CPSV NODA). n14 </w:t>
      </w:r>
      <w:hyperlink r:id="rId20" w:history="1">
        <w:r>
          <w:rPr>
            <w:rFonts w:ascii="arial" w:eastAsia="arial" w:hAnsi="arial" w:cs="arial"/>
            <w:b w:val="0"/>
            <w:i/>
            <w:strike w:val="0"/>
            <w:noProof w:val="0"/>
            <w:color w:val="0077CC"/>
            <w:position w:val="0"/>
            <w:sz w:val="20"/>
            <w:u w:val="single"/>
            <w:vertAlign w:val="baseline"/>
          </w:rPr>
          <w:t>80 FR 72608.</w:t>
        </w:r>
      </w:hyperlink>
      <w:r>
        <w:rPr>
          <w:rFonts w:ascii="arial" w:eastAsia="arial" w:hAnsi="arial" w:cs="arial"/>
          <w:b w:val="0"/>
          <w:i w:val="0"/>
          <w:strike w:val="0"/>
          <w:noProof w:val="0"/>
          <w:color w:val="000000"/>
          <w:position w:val="0"/>
          <w:sz w:val="20"/>
          <w:u w:val="none"/>
          <w:vertAlign w:val="baseline"/>
        </w:rPr>
        <w:t xml:space="preserve"> In the CPSV NODA, DOE described revisions to its analyses of commercial prerinse spray valves in the following areas: (1) Engineering, (2) manufacturer impacts, (3) LCC and PBP, and (4) national impacts. DOE also presented updated trial standard level (TSL) combinations. DOE sought comments on all aspects of the updated analyses. During the CPSV NODA comment period, DOE received comments in response to issues raised in the CPSV NODA.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DOE initially published the CPSV NODA on November 12, 2015. </w:t>
      </w:r>
      <w:hyperlink r:id="rId21" w:history="1">
        <w:r>
          <w:rPr>
            <w:rFonts w:ascii="arial" w:eastAsia="arial" w:hAnsi="arial" w:cs="arial"/>
            <w:b w:val="0"/>
            <w:i/>
            <w:strike w:val="0"/>
            <w:noProof w:val="0"/>
            <w:color w:val="0077CC"/>
            <w:position w:val="0"/>
            <w:sz w:val="20"/>
            <w:u w:val="single"/>
            <w:vertAlign w:val="baseline"/>
          </w:rPr>
          <w:t>80 FR 69888.</w:t>
        </w:r>
      </w:hyperlink>
      <w:r>
        <w:rPr>
          <w:rFonts w:ascii="arial" w:eastAsia="arial" w:hAnsi="arial" w:cs="arial"/>
          <w:b w:val="0"/>
          <w:i w:val="0"/>
          <w:strike w:val="0"/>
          <w:noProof w:val="0"/>
          <w:color w:val="000000"/>
          <w:position w:val="0"/>
          <w:sz w:val="20"/>
          <w:u w:val="none"/>
          <w:vertAlign w:val="baseline"/>
        </w:rPr>
        <w:t xml:space="preserve"> Due to errors in the CPSV NODA, DOE withdrew the document and published a corrected NODA on November 20, 2015. </w:t>
      </w:r>
      <w:hyperlink r:id="rId20" w:history="1">
        <w:r>
          <w:rPr>
            <w:rFonts w:ascii="arial" w:eastAsia="arial" w:hAnsi="arial" w:cs="arial"/>
            <w:b w:val="0"/>
            <w:i/>
            <w:strike w:val="0"/>
            <w:noProof w:val="0"/>
            <w:color w:val="0077CC"/>
            <w:position w:val="0"/>
            <w:sz w:val="20"/>
            <w:u w:val="single"/>
            <w:vertAlign w:val="baseline"/>
          </w:rPr>
          <w:t>80 FR 72608.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responds to issues raised by commenters in response to the 2014 CPSV Framework document, CPSV NOPR, and CPSV NODA.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General Rulemaking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CPSV NOPR, Alliance for Water Efficiency (AWE) recommended that this rulemaking be postponed until the stakeholders develop and agree upon a cleaning performance test that mimics "real world" performance. (AWE, No. 28 at p. 6) n15 As discussed previously, under </w:t>
      </w:r>
      <w:hyperlink r:id="rId8"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 established energy conservation standards for a covered product. DOE codified the current energy conservation standard for commercial prerinse spray valves in the 2005 CPSV final rule. Therefore, DOE is required to conduct a review of CPSV energy conservation standards, and cannot postpone this rulemaking further. A discussion of the CPSV test procedure is provided in section III.B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A notation in this form provides a reference for information that is in the docket of DOE's rulemaking to amend energy conservation standards for commercial prerinse spray valves. (Docket No. EERE-2014-BT-STD-0027, which is maintained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This particular notation refers to a comment: (1) Submitted by AWE; (2) appearing in document number 28 of the docket; and (3) appearing on page 6 of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CPSV NODA, DOE received a comment from the Plumbing Manufacturers Institute (PMI) requesting the comment period for the CPSV NODA be extended. PMI cited the short duration of the comment period, as well as the Thanksgiving holiday to support their request for an extension. (PMI, No. 41 at p. 1) DOE chose to maintain the comment period at 14 days, which DOE believes is sufficient time to review the updated analyses and provide comment. Additionally, while input data was updated in response to comments received, the analytical framework remained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PMI further commented that the process by which DOE obtained data to develop energy conservation standards lacked transparency. PMI stated that DOE should have formed a working group. (PMI, No. 43 at p. 1) DOE disagrees with PMI's comment that DOE's regular notice-and-comment rulemaking process lacks transparency with regards to data collection. DOE solicited comments and data from interested parties in response to the 2014 CPSV Framework document, the CPSV NOPR, and the CPSV NODA. Based on data obtained during these public comment periods, DOE revised its analyses and proposed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the term "commercial prerinse spray valve" as a "handheld device designed and marketed for use with commercial dishwashing and ware washing equipment that sprays water on dishes, flatware, and other food service items for the purpose of removing food residue before cleaning the items." (</w:t>
      </w:r>
      <w:hyperlink r:id="rId22" w:history="1">
        <w:r>
          <w:rPr>
            <w:rFonts w:ascii="arial" w:eastAsia="arial" w:hAnsi="arial" w:cs="arial"/>
            <w:b w:val="0"/>
            <w:i/>
            <w:strike w:val="0"/>
            <w:noProof w:val="0"/>
            <w:color w:val="0077CC"/>
            <w:position w:val="0"/>
            <w:sz w:val="20"/>
            <w:u w:val="single"/>
            <w:vertAlign w:val="baseline"/>
          </w:rPr>
          <w:t>42 U.S.C. 6291(33)(A)</w:t>
        </w:r>
      </w:hyperlink>
      <w:r>
        <w:rPr>
          <w:rFonts w:ascii="arial" w:eastAsia="arial" w:hAnsi="arial" w:cs="arial"/>
          <w:b w:val="0"/>
          <w:i w:val="0"/>
          <w:strike w:val="0"/>
          <w:noProof w:val="0"/>
          <w:color w:val="000000"/>
          <w:position w:val="0"/>
          <w:sz w:val="20"/>
          <w:u w:val="none"/>
          <w:vertAlign w:val="baseline"/>
        </w:rPr>
        <w:t xml:space="preserve"> In the CPSV TP final rule, DOE modified the CPSV definition to clarify the scope of coverage, and adopted the following definition: "Commercial prerinse spray valve" is defined as a handheld device that has a release to close valve and is suitable for removing food residue from food service items before cleaning them in commercial dishwashing and ware washing equipment. The analyses conducted for this final rule were based on the scope of coverage provided by this amended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evaluating and establishing energy conservation standards, DOE divides covered products into product classes by the type of energy used, or by </w:t>
      </w:r>
      <w:r>
        <w:rPr>
          <w:rFonts w:ascii="arial" w:eastAsia="arial" w:hAnsi="arial" w:cs="arial"/>
          <w:b/>
          <w:i w:val="0"/>
          <w:strike w:val="0"/>
          <w:noProof w:val="0"/>
          <w:color w:val="000000"/>
          <w:position w:val="0"/>
          <w:sz w:val="20"/>
          <w:u w:val="none"/>
          <w:vertAlign w:val="baseline"/>
        </w:rPr>
        <w:t> [*4755] </w:t>
      </w:r>
      <w:r>
        <w:rPr>
          <w:rFonts w:ascii="arial" w:eastAsia="arial" w:hAnsi="arial" w:cs="arial"/>
          <w:b w:val="0"/>
          <w:i w:val="0"/>
          <w:strike w:val="0"/>
          <w:noProof w:val="0"/>
          <w:color w:val="000000"/>
          <w:position w:val="0"/>
          <w:sz w:val="20"/>
          <w:u w:val="none"/>
          <w:vertAlign w:val="baseline"/>
        </w:rPr>
        <w:t xml:space="preserve"> capacity or other performance-related features that justify a different standard. In making a determination whether a performance-related feature justifies a different standard, DOE considers such factors as the utility of the feature to the consumer and other factors DOE determines are appropriate. (</w:t>
      </w:r>
      <w:hyperlink r:id="rId8"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all covered commercial prerinse spray valves are included in a single product class that is subject to a 1.6-gpm standard for maximum flow rate. </w:t>
      </w:r>
      <w:hyperlink r:id="rId23" w:history="1">
        <w:r>
          <w:rPr>
            <w:rFonts w:ascii="arial" w:eastAsia="arial" w:hAnsi="arial" w:cs="arial"/>
            <w:b w:val="0"/>
            <w:i/>
            <w:strike w:val="0"/>
            <w:noProof w:val="0"/>
            <w:color w:val="0077CC"/>
            <w:position w:val="0"/>
            <w:sz w:val="20"/>
            <w:u w:val="single"/>
            <w:vertAlign w:val="baseline"/>
          </w:rPr>
          <w:t>10 CFR 431.266</w:t>
        </w:r>
      </w:hyperlink>
      <w:r>
        <w:rPr>
          <w:rFonts w:ascii="arial" w:eastAsia="arial" w:hAnsi="arial" w:cs="arial"/>
          <w:b w:val="0"/>
          <w:i w:val="0"/>
          <w:strike w:val="0"/>
          <w:noProof w:val="0"/>
          <w:color w:val="000000"/>
          <w:position w:val="0"/>
          <w:sz w:val="20"/>
          <w:u w:val="none"/>
          <w:vertAlign w:val="baseline"/>
        </w:rPr>
        <w:t>. In the CPSV NOPR, DOE proposed three separate product classes based on spray force. DOE believes that spray force is a performance-related feature of commercial prerinse spray valves, and that each of the defined spray force ranges is associated with unique consumer utility for specific CPSV applications. (</w:t>
      </w:r>
      <w:hyperlink r:id="rId8"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also requested comments from interested parties. See section IV.A.2 for more discussion on the product classes addressed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establishing the current maximum flow rate for commercial prerinse spray valves, EPCA also prescribed that the test procedure for measuring flow rate for commercial prerinse spray valves be based on American Society for Testing and Materials (ASTM) Standard F2324, "Standard Test Method for Pre-Rinse Spray Valves." (</w:t>
      </w:r>
      <w:hyperlink r:id="rId13" w:history="1">
        <w:r>
          <w:rPr>
            <w:rFonts w:ascii="arial" w:eastAsia="arial" w:hAnsi="arial" w:cs="arial"/>
            <w:b w:val="0"/>
            <w:i/>
            <w:strike w:val="0"/>
            <w:noProof w:val="0"/>
            <w:color w:val="0077CC"/>
            <w:position w:val="0"/>
            <w:sz w:val="20"/>
            <w:u w:val="single"/>
            <w:vertAlign w:val="baseline"/>
          </w:rPr>
          <w:t>42 U.S.C. 6293(b)(14)</w:t>
        </w:r>
      </w:hyperlink>
      <w:r>
        <w:rPr>
          <w:rFonts w:ascii="arial" w:eastAsia="arial" w:hAnsi="arial" w:cs="arial"/>
          <w:b w:val="0"/>
          <w:i w:val="0"/>
          <w:strike w:val="0"/>
          <w:noProof w:val="0"/>
          <w:color w:val="000000"/>
          <w:position w:val="0"/>
          <w:sz w:val="20"/>
          <w:u w:val="none"/>
          <w:vertAlign w:val="baseline"/>
        </w:rPr>
        <w:t xml:space="preserve">) In a final rule published December 8, 2006, DOE incorporated by reference ASTM Standard F2324-03 as the DOE test procedure for commercial prerinse spray valves. </w:t>
      </w:r>
      <w:hyperlink r:id="rId24" w:history="1">
        <w:r>
          <w:rPr>
            <w:rFonts w:ascii="arial" w:eastAsia="arial" w:hAnsi="arial" w:cs="arial"/>
            <w:b w:val="0"/>
            <w:i/>
            <w:strike w:val="0"/>
            <w:noProof w:val="0"/>
            <w:color w:val="0077CC"/>
            <w:position w:val="0"/>
            <w:sz w:val="20"/>
            <w:u w:val="single"/>
            <w:vertAlign w:val="baseline"/>
          </w:rPr>
          <w:t>71 FR 71340, 71374.</w:t>
        </w:r>
      </w:hyperlink>
      <w:r>
        <w:rPr>
          <w:rFonts w:ascii="arial" w:eastAsia="arial" w:hAnsi="arial" w:cs="arial"/>
          <w:b w:val="0"/>
          <w:i w:val="0"/>
          <w:strike w:val="0"/>
          <w:noProof w:val="0"/>
          <w:color w:val="000000"/>
          <w:position w:val="0"/>
          <w:sz w:val="20"/>
          <w:u w:val="none"/>
          <w:vertAlign w:val="baseline"/>
        </w:rPr>
        <w:t xml:space="preserve"> In a final rule published on October 23, 2013, DOE incorporated by reference ASTM Standard F2324-03 (2009) for testing commercial prerinse spray valves, which reaffirmed the 2003 version. </w:t>
      </w:r>
      <w:hyperlink r:id="rId25" w:history="1">
        <w:r>
          <w:rPr>
            <w:rFonts w:ascii="arial" w:eastAsia="arial" w:hAnsi="arial" w:cs="arial"/>
            <w:b w:val="0"/>
            <w:i/>
            <w:strike w:val="0"/>
            <w:noProof w:val="0"/>
            <w:color w:val="0077CC"/>
            <w:position w:val="0"/>
            <w:sz w:val="20"/>
            <w:u w:val="single"/>
            <w:vertAlign w:val="baseline"/>
          </w:rPr>
          <w:t>78 FR 62970, 62980.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ASTM amended Standard F2324-03 (2009) to replace the cleanability test with a spray force test, based on research conducted by the U.S. Environmental Protection Agency's (EPA) WaterSense(R) program. n16 The most current version of the ASTM industry standard is the version published in 2013, ASTM Standard F2324-13.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EPA WaterSense program, </w:t>
      </w:r>
      <w:r>
        <w:rPr>
          <w:rFonts w:ascii="arial" w:eastAsia="arial" w:hAnsi="arial" w:cs="arial"/>
          <w:b w:val="0"/>
          <w:i/>
          <w:strike w:val="0"/>
          <w:noProof w:val="0"/>
          <w:color w:val="000000"/>
          <w:position w:val="0"/>
          <w:sz w:val="20"/>
          <w:u w:val="none"/>
          <w:vertAlign w:val="baseline"/>
        </w:rPr>
        <w:t>WaterSense Specification for Commercial Prerinse Spray Valves Supporting Statement.</w:t>
      </w:r>
      <w:r>
        <w:rPr>
          <w:rFonts w:ascii="arial" w:eastAsia="arial" w:hAnsi="arial" w:cs="arial"/>
          <w:b w:val="0"/>
          <w:i w:val="0"/>
          <w:strike w:val="0"/>
          <w:noProof w:val="0"/>
          <w:color w:val="000000"/>
          <w:position w:val="0"/>
          <w:sz w:val="20"/>
          <w:u w:val="none"/>
          <w:vertAlign w:val="baseline"/>
        </w:rPr>
        <w:t xml:space="preserve"> Version 1.0 (Sept. 19, 2013). Available at: </w:t>
      </w:r>
      <w:hyperlink r:id="rId26" w:history="1">
        <w:r>
          <w:rPr>
            <w:rFonts w:ascii="arial" w:eastAsia="arial" w:hAnsi="arial" w:cs="arial"/>
            <w:b w:val="0"/>
            <w:i/>
            <w:strike w:val="0"/>
            <w:noProof w:val="0"/>
            <w:color w:val="0077CC"/>
            <w:position w:val="0"/>
            <w:sz w:val="20"/>
            <w:u w:val="single"/>
            <w:vertAlign w:val="baseline"/>
          </w:rPr>
          <w:t>www.epa.gov/watersense/partners/prsv_final.html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published the NOPR for the CPSV test procedure on June 23, 2015 (CPSV TP NOPR). </w:t>
      </w:r>
      <w:hyperlink r:id="rId27" w:history="1">
        <w:r>
          <w:rPr>
            <w:rFonts w:ascii="arial" w:eastAsia="arial" w:hAnsi="arial" w:cs="arial"/>
            <w:b w:val="0"/>
            <w:i/>
            <w:strike w:val="0"/>
            <w:noProof w:val="0"/>
            <w:color w:val="0077CC"/>
            <w:position w:val="0"/>
            <w:sz w:val="20"/>
            <w:u w:val="single"/>
            <w:vertAlign w:val="baseline"/>
          </w:rPr>
          <w:t>80 FR 35874.</w:t>
        </w:r>
      </w:hyperlink>
      <w:r>
        <w:rPr>
          <w:rFonts w:ascii="arial" w:eastAsia="arial" w:hAnsi="arial" w:cs="arial"/>
          <w:b w:val="0"/>
          <w:i w:val="0"/>
          <w:strike w:val="0"/>
          <w:noProof w:val="0"/>
          <w:color w:val="000000"/>
          <w:position w:val="0"/>
          <w:sz w:val="20"/>
          <w:u w:val="none"/>
          <w:vertAlign w:val="baseline"/>
        </w:rPr>
        <w:t xml:space="preserve"> In the CPSV TP NOPR, DOE proposed to incorporate by reference relevant portions of the amended ASTM Standard F2324-13, requiring spray force and flow rate to be measured in accordance with the industry standard. Additionally, DOE proposed a clarification to the definition of "commercial prerinse spray valve" as well as adding a new definition for "spray force." For commercial prerinse spray valves with multiple spray settings, DOE proposed that both flow rate and spray force be measured for each available spray setting. DOE also proposed modifications to the rounding requirements for flow rate and added rounding requirements for spray force. Finally, DOE proposed modification of the sampling plan to remove the provisions related to determining representative values where customers would favor higher values. DOE presented the CPSV TP NOPR in the public meeting on July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issued a pre-publication notice for the final rule for the CPSV TP on December 18, 2015. The final rule incorporates by reference relevant portions of the latest version of the industry testing standard from the ASTM Standard F2324-13, including the procedure for measuring spray force, revises the definitions of "commercial prerinse spray valve" and "basic model," clarifies the test procedure for products with multiple spray settings, establishes rounding requirements for flow rate and spray force measurements, and removes irrelevant portions of the statistical methods for certification, compliance, and enforcement of commercial prerinse spray valves. The amended standards adopted in this final rule were based on testing conducted in accordance with the amended test procedure adopted in the CPSV TP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Certification, Compliance, Enforcement and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three separate product classes for commercial prerinse spray valves based on spray force. DOE recognizes that some commercial prerinse spray valves contain multiple spray settings and may fall into more than one product class. If the spray settings on a CPSV unit fall into multiple product classes, manufacturers must certify separate basic models for each product class and may only group individual spray settings into basic models within each product class. The tested spray force for each spray setting determines which product class definition applies to each spray setting. Therefore, a commercial prerinse spray valve that contains multiple spray settings, or is sold with multiple spray faces, may be classified as more than one product class. In this case, the commercial prerinse spray valve is required to meet the appropriate energy conservation standard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labeling, in the CPSV NOPR public meeting, the Natural Resource Defense Council (NRDC) questioned whether the institution of product classes for commercial prerinse spray valves will affect product labeling, and more specifically, whether the product class in which a commercial prerinse spray valve is categorized needs to be represented on product literature. (NRDC, Public Meeting Transcript, No. 23 at p. 110) NRDC also requested guidance on how commercial prerinse spray valves will be labeled if the proposal of multiple product classes were adopted. (NRDC, Public Meeting Transcript, No. 23 at p.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include labeling requirements for commercial prerinse spray valves. Accordingly, this final rule does not require manufacturers to include product class information on product labels. However, DOE notes that any representations of flow rate are required to be determined in accordance with the DOE test procedure and applicable sampling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w:t>
      </w:r>
      <w:r>
        <w:rPr>
          <w:rFonts w:ascii="arial" w:eastAsia="arial" w:hAnsi="arial" w:cs="arial"/>
          <w:b/>
          <w:i w:val="0"/>
          <w:strike w:val="0"/>
          <w:noProof w:val="0"/>
          <w:color w:val="000000"/>
          <w:position w:val="0"/>
          <w:sz w:val="20"/>
          <w:u w:val="none"/>
          <w:vertAlign w:val="baseline"/>
        </w:rPr>
        <w:t> [*4756] </w:t>
      </w:r>
      <w:r>
        <w:rPr>
          <w:rFonts w:ascii="arial" w:eastAsia="arial" w:hAnsi="arial" w:cs="arial"/>
          <w:b w:val="0"/>
          <w:i w:val="0"/>
          <w:strike w:val="0"/>
          <w:noProof w:val="0"/>
          <w:color w:val="000000"/>
          <w:position w:val="0"/>
          <w:sz w:val="20"/>
          <w:u w:val="none"/>
          <w:vertAlign w:val="baseline"/>
        </w:rPr>
        <w:t xml:space="preserve"> 4(a)(4)(ii)-(iv) Additionally, it is DOE policy not to include in its analysis any proprietary technology that is a unique pathway to achieving a certain efficiency level (EL). Section IV.B of this document discusses the results of the screening analysis for commercial prerinse spray valves, particularly the technology options DOE considered, those it screened out, and those that are the basis for the standards considered in this rulemaking. For further details on the screening analysis for this rulemaking, see chapter 4 of the final rule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adopts an amended standard for a type or class of covered product, it must determine the maximum improvement in energy efficiency or maximum reduction in energy use that is technologically feasible for such product. (</w:t>
      </w:r>
      <w:hyperlink r:id="rId8"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efficiency for commercial prerinse spray valves using the design parameters for the most efficient products available on the market or in working prototypes. The max-tech levels that DOE determined for this rulemaking are described in section IV.C.3 of this document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application of the TSL to commercial prerinse spray valves purchased in the 30-year period that begins in the year of compliance with any amended standards (2019-2048). n17 The savings are measured over the entire lifetime of products purchased in the 30-year analysis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models to estimate energy savings from amended standards for commercial prerinse spray valves. The NIA spreadsheet model (described in section IV.H of this document) calculates savings in site energy, which is the energy directly consumed by products at the locations where they are used. DOE calculates national energy savings (NES) in terms of primary energy savings, which is the savings in energy that is used to generate and transmit the site energy,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n18 DOE's approach is based on the calculation of an FFC multiplier for each of the energy types used by covered products. For more information on FFC energy savings, see section IV.H.1 of this document. For natural gas, the primary energy savings are considered to be equal to the site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FFC metric is discussed in DOE's statement of policy and notice of policy amendment. </w:t>
      </w:r>
      <w:hyperlink r:id="rId28"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more stringent standards for commercial prerinse spray valves, DOE must determine that such action would result in "significant" energy savings. (</w:t>
      </w:r>
      <w:hyperlink r:id="rId8"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EPCA, the U.S. Court of Appeals for the District of Columbia Circuit in </w:t>
      </w:r>
      <w:hyperlink r:id="rId30"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indicated that Congress intended "significant" energy savings in the context of EPCA to be savings that were not "genuinely trivial." The energy savings for all the TSLs considered in this rulemaking, including the amended standards,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EPCA provides seven factors to be evaluated in determining whether a potential energy conservation standard is economically justified. (</w:t>
      </w:r>
      <w:hyperlink r:id="rId8"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an amended standard on manufacturers, DOE conducts a manufacturer impact analysis (MIA), as discussed in section IV.J. DOE first uses an annual cash 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amended standards. These measures are discussed further in the following section. For consumers in the aggregate, DOE also calculates the national NPV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8"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LCC is the sum of the purchase price of a product (including its installation) and the operating cost (including water, energy, maintenance, and repair expenditures) discounted over the lifetime of the product. The LCC analysis requires a variety of inputs, such as product prices; product energy and water consumption; energy and water and wastewater prices; maintenance and repair costs; product lifetime; and discount rates appropriate for consumers. To account for </w:t>
      </w:r>
      <w:r>
        <w:rPr>
          <w:rFonts w:ascii="arial" w:eastAsia="arial" w:hAnsi="arial" w:cs="arial"/>
          <w:b/>
          <w:i w:val="0"/>
          <w:strike w:val="0"/>
          <w:noProof w:val="0"/>
          <w:color w:val="000000"/>
          <w:position w:val="0"/>
          <w:sz w:val="20"/>
          <w:u w:val="none"/>
          <w:vertAlign w:val="baseline"/>
        </w:rPr>
        <w:t> [*4757] </w:t>
      </w:r>
      <w:r>
        <w:rPr>
          <w:rFonts w:ascii="arial" w:eastAsia="arial" w:hAnsi="arial" w:cs="arial"/>
          <w:b w:val="0"/>
          <w:i w:val="0"/>
          <w:strike w:val="0"/>
          <w:noProof w:val="0"/>
          <w:color w:val="000000"/>
          <w:position w:val="0"/>
          <w:sz w:val="20"/>
          <w:u w:val="none"/>
          <w:vertAlign w:val="baseline"/>
        </w:rPr>
        <w:t xml:space="preserve">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efficiency levels are calculated relative to the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and Water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and water savings that are expected to result directly from the standard. (</w:t>
      </w:r>
      <w:hyperlink r:id="rId8"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III.E, DOE uses the NIA spreadsheet models to project national energy and water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 proposed standard is economically justified, DOE evaluates any lessening of the utility or performance of the considered products. (</w:t>
      </w:r>
      <w:hyperlink r:id="rId8"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of the United States (Attorney General), that is likely to result from a standard. (</w:t>
      </w:r>
      <w:hyperlink r:id="rId8"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DOE transmitted a copy of its proposed rule to the Attorney General with a request that the Department of Justice (DOJ) provide its determination to the Secretary within 60 days of the publication of a proposed rule, together with an analysis of the nature and extent of the impact. (</w:t>
      </w:r>
      <w:hyperlink r:id="rId8"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On September 4, 2015, DOJ provided its determination to DOE that the amended standards for commercial prerinse spray valves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has included this determination from DOJ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8"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amended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standards are also likely to result in environmental benefits in the form of reduced emissions of air pollutants and greenhouse gases (GHGs) associated with energy production and use. DOE conducts an emissions analysis to estimate how standards may affect these emissions, as discussed in section IV.K.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8"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8"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and water savings resulting from the standard, as calculated under the applicable DOE test procedure. DOE's LCC and PBP analyses generate values used to calculate the effect the amended energy conservation standards would have on the PBP for consumers. These analyses include, but are not limited to, the 3-year PBP contemplated under the rebuttable-presumption test. In addition, DOE routinely conducts an economic analysis that considers the full range of impacts to consumers, manufacturers, the nation, and the environment, as required under </w:t>
      </w:r>
      <w:hyperlink r:id="rId8"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an amended standard level (thereby supporting or rebutting the results of any preliminary determination of economic justification). The rebuttable presumption payback calculation is discussed in section IV.F.11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commercial prerinse spray valves. Separate subsections address each component of DOE's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savings and PBP of the amended energy conservation standards. The NIA uses a second spreadsheet set that provides shipments forecasts and calculates NES and NPV of total consumer costs and savings expected to result from amended energy conservation standards. DOE uses a third spreadsheet tool, the Government Regulatory Impact Model (GRIM), to assess manufacturer impacts of amended standards. These three spreadsheet tools are available on the DOE Web site for this rulemaking: </w:t>
      </w:r>
      <w:hyperlink r:id="rId31" w:history="1">
        <w:r>
          <w:rPr>
            <w:rFonts w:ascii="arial" w:eastAsia="arial" w:hAnsi="arial" w:cs="arial"/>
            <w:b w:val="0"/>
            <w:i/>
            <w:strike w:val="0"/>
            <w:noProof w:val="0"/>
            <w:color w:val="0077CC"/>
            <w:position w:val="0"/>
            <w:sz w:val="20"/>
            <w:u w:val="single"/>
            <w:vertAlign w:val="baseline"/>
          </w:rPr>
          <w:t>https://www1.eere.energy.gov/buildings/appliance_standards/rulemaking.aspx?ruleid=100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used a version of the Energy Information Administration's (EIA) National Energy Modeling System (NEMS) for the emission and utility impact analyses. The NEMS model simulates the energy sector of the U.S. economy. EIA uses NEMS to prepare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widely-known baseline energy forecast for the United States.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 2009,</w:t>
      </w:r>
      <w:r>
        <w:rPr>
          <w:rFonts w:ascii="arial" w:eastAsia="arial" w:hAnsi="arial" w:cs="arial"/>
          <w:b w:val="0"/>
          <w:i w:val="0"/>
          <w:strike w:val="0"/>
          <w:noProof w:val="0"/>
          <w:color w:val="000000"/>
          <w:position w:val="0"/>
          <w:sz w:val="20"/>
          <w:u w:val="none"/>
          <w:vertAlign w:val="baseline"/>
        </w:rPr>
        <w:t xml:space="preserve"> DOE/EIA-0581 (Oct. 2009) (Available at: </w:t>
      </w:r>
      <w:hyperlink r:id="rId32" w:history="1">
        <w:r>
          <w:rPr>
            <w:rFonts w:ascii="arial" w:eastAsia="arial" w:hAnsi="arial" w:cs="arial"/>
            <w:b w:val="0"/>
            <w:i/>
            <w:strike w:val="0"/>
            <w:noProof w:val="0"/>
            <w:color w:val="0077CC"/>
            <w:position w:val="0"/>
            <w:sz w:val="20"/>
            <w:u w:val="single"/>
            <w:vertAlign w:val="baseline"/>
          </w:rPr>
          <w:t>https://www.eia.gov/forecasts/aeo/info_nems_archive.cfm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version of NEMS used for appliance standards analysis, which makes minor modifications to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is called NEMS-BT. n20 NEMS- </w:t>
      </w:r>
      <w:r>
        <w:rPr>
          <w:rFonts w:ascii="arial" w:eastAsia="arial" w:hAnsi="arial" w:cs="arial"/>
          <w:b/>
          <w:i w:val="0"/>
          <w:strike w:val="0"/>
          <w:noProof w:val="0"/>
          <w:color w:val="000000"/>
          <w:position w:val="0"/>
          <w:sz w:val="20"/>
          <w:u w:val="none"/>
          <w:vertAlign w:val="baseline"/>
        </w:rPr>
        <w:t> [*4758] </w:t>
      </w:r>
      <w:r>
        <w:rPr>
          <w:rFonts w:ascii="arial" w:eastAsia="arial" w:hAnsi="arial" w:cs="arial"/>
          <w:b w:val="0"/>
          <w:i w:val="0"/>
          <w:strike w:val="0"/>
          <w:noProof w:val="0"/>
          <w:color w:val="000000"/>
          <w:position w:val="0"/>
          <w:sz w:val="20"/>
          <w:u w:val="none"/>
          <w:vertAlign w:val="baseline"/>
        </w:rPr>
        <w:t xml:space="preserve"> BT accounts for the interactions among the various energy supply and demand sectors and the economy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EIA approves the use of the name "NEMS" to describe only an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version of the model without any modification to code or data. Because the present analysis entails some minor code modifications and runs the model under various policy scenarios that deviate from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assumptions, the name "NEMS-BT" refers to the model as used here. (BT stands for DOE's Building Technologies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commercial prerinse spray valves,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Market assessment, (2) product classes, (3) technology assessment, and (4) impact on compliance, certification and enforcement. The key findings of DOE's market assessment are summarized in the following sections.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market assessment, DOE examined manufacturers, trade associations, and the quantities and types of products sold and offered in the market. DOE reviewed relevant literature to develop an understanding of the CPSV industry in the United States, including market research data, government databases, retail listings, and industry publications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catalogs). Using this information, DOE assessed the overall state of the industry, CPSV manufacturer model-based market shares, shipments, general technical information on commercial prerinse spray valves, and industry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to the CPSV NOPR, T&amp;S Brass suggested that information and data acquired through the WaterSense program be considered, as the program set a reasonable efficiency goal and established the groundwork for a viable CPSV efficiency program. (T&amp;S Brass, No. 33 at p. 3) AWE stated that the WaterSense research seems to be ignored by DOE. (AWE, No. 28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rulemaking, DOE performed market research using various reports and databases, including the WaterSense database that lists the spray force of WaterSense labeled products. DOE used the spray force results from the WaterSense labeled products as input to the engineering analysis (see chapter 5 of the final rule TSD). Also, DOE used the WaterSense field study report: (1) To characterize the CPSV market; (2) to perform a sensitivity analysis of water pressure for testing commercial prerinse spray valves as part of the CPSV test procedure rulemaking; n21 and (3) as inputs to the energy and water use analysis (see chapter 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water pressure sensitivity analysis is available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number EERE-2014-BT-TP-0055.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characterize the market, DOE analyzed the model-based market shares of major manufacturers based on the number of basic models n22 observed through the DOE Compliance Certification Management System (CCMS) database, WaterSense database, and Web searches. n23 DOE concluded that the CPSV market includes 46 basic models from 13 manufacturers. Chapter 3 of the final rule TSD provides more details on the CPSV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Basic model means all units of a given type of covered product (or class thereof) manufactured by one manufacturer, having the same primary energy source, and having essentially identical electrical, physical, and functional (or hydraulic) characteristics that affect energy use, energy efficiency, water use, or water efficiency. </w:t>
      </w:r>
      <w:hyperlink r:id="rId33" w:history="1">
        <w:r>
          <w:rPr>
            <w:rFonts w:ascii="arial" w:eastAsia="arial" w:hAnsi="arial" w:cs="arial"/>
            <w:b w:val="0"/>
            <w:i/>
            <w:strike w:val="0"/>
            <w:noProof w:val="0"/>
            <w:color w:val="0077CC"/>
            <w:position w:val="0"/>
            <w:sz w:val="20"/>
            <w:u w:val="single"/>
            <w:vertAlign w:val="baseline"/>
          </w:rPr>
          <w:t>10 CFR 431.262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U.S. Department of Energy. Compliance Certification Database (available at </w:t>
      </w:r>
      <w:hyperlink r:id="rId34" w:history="1">
        <w:r>
          <w:rPr>
            <w:rFonts w:ascii="arial" w:eastAsia="arial" w:hAnsi="arial" w:cs="arial"/>
            <w:b w:val="0"/>
            <w:i/>
            <w:strike w:val="0"/>
            <w:noProof w:val="0"/>
            <w:color w:val="0077CC"/>
            <w:position w:val="0"/>
            <w:sz w:val="20"/>
            <w:u w:val="single"/>
            <w:vertAlign w:val="baseline"/>
          </w:rPr>
          <w:t>http://www.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 xml:space="preserve">); U.S. EPA, Water Sense (available at </w:t>
      </w:r>
      <w:hyperlink r:id="rId35" w:history="1">
        <w:r>
          <w:rPr>
            <w:rFonts w:ascii="arial" w:eastAsia="arial" w:hAnsi="arial" w:cs="arial"/>
            <w:b w:val="0"/>
            <w:i/>
            <w:strike w:val="0"/>
            <w:noProof w:val="0"/>
            <w:color w:val="0077CC"/>
            <w:position w:val="0"/>
            <w:sz w:val="20"/>
            <w:u w:val="single"/>
            <w:vertAlign w:val="baseline"/>
          </w:rPr>
          <w:t>www.epa.gov/watersense/product_search.html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also characterized the efficiency (flow rate) distribution of commercial prerinse spray valves currently on the market. DOE performed this analysis in the CPSV NOPR, and presented it during the CPSV NOPR public meeting. DOE's analysis indicated a wide range of CPSV flow rates on the market with rated flow rates between 0.59 and 1.60 gpm. DOE received a comment during the CPSV NOPR public meeting regarding the efficiency distribution. T&amp;S Brass stated that consumer satisfaction was not represented in DOE's analysis, and that consumer satisfaction is very high at the upper range of the market flow rate distribution. (T&amp;S Brass, Public Meeting Transcript, No. 23 at p. 31) T&amp;S Brass further commented that the showerhead-type commercial prerinse spray valves represent the majority of the market and highest level of customer satisfaction because these units prevent splash-back. (T&amp;S Brass, Public Meeting Transcript, No. 23 at pp. 42-43)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consumer satisfaction is not directly referenced in the efficiency distribution graph presented by DOE in the CPSV NOPR, DOE has acknowledged consumer satisfaction and consumer utility as important aspects to consider when establishing product classes for commercial prerinse spray valves. This is described further in the product class section of this document (section IV.A.2). Additionally, in response to comments from interested parties, DOE updated both its engineering analysis and downstream analysis to account for the shower-type commercial prerinse spray valves and its majority market shipments. The updated engineering analysis is presented in section IV.C of this document, and the updated shipments analysis is presented in section IV.G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considers dividing covered products into classes by (a) the type of energy used, (b) the capacity of the product, or (c) other performance-related features that justify different standard levels. (</w:t>
      </w:r>
      <w:hyperlink r:id="rId8"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Currently, DOE regulates all covered commercial prerinse spray valves as a single product class that is subject to a 1.6-gpm standard for flow rate. </w:t>
      </w:r>
      <w:hyperlink r:id="rId23" w:history="1">
        <w:r>
          <w:rPr>
            <w:rFonts w:ascii="arial" w:eastAsia="arial" w:hAnsi="arial" w:cs="arial"/>
            <w:b w:val="0"/>
            <w:i/>
            <w:strike w:val="0"/>
            <w:noProof w:val="0"/>
            <w:color w:val="0077CC"/>
            <w:position w:val="0"/>
            <w:sz w:val="20"/>
            <w:u w:val="single"/>
            <w:vertAlign w:val="baseline"/>
          </w:rPr>
          <w:t>10 CFR 431.266</w:t>
        </w:r>
      </w:hyperlink>
      <w:r>
        <w:rPr>
          <w:rFonts w:ascii="arial" w:eastAsia="arial" w:hAnsi="arial" w:cs="arial"/>
          <w:b w:val="0"/>
          <w:i w:val="0"/>
          <w:strike w:val="0"/>
          <w:noProof w:val="0"/>
          <w:color w:val="000000"/>
          <w:position w:val="0"/>
          <w:sz w:val="20"/>
          <w:u w:val="none"/>
          <w:vertAlign w:val="baseline"/>
        </w:rPr>
        <w:t>. DOE, however, has determined that spray force is a performance-related feature that justifies different standard levels. Consequently, this final rule establishes three product classes based on spray force ranges: (1) Product class 1 (less than or equal to 5.0 ounce-force, or ozf), (2) product class 2 (greater than 5.0 ozf but less than or equal to 8.0 ozf), and (3) product class 3 (greater than 8.0 ozf). These are the same product classes that were proposed in the CPSV NOPR, but with a different naming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Spray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CPSV NOPR and public meeting, DOE presented data indicating a strong correlation between spray force and flow rate, as described further in section IV.C.2 of this final rule and in chapter 5 of the TSD. Specifically, units with higher spray force have inherently higher flow rates, and units with lower spray force have inherently lower flow rates. This direct relationship provided justification for creating multiple product classes defined by ranges of spray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CPSV NOPR, DOE cited a WaterSense field study that found that low water pressure, or spray force, can be a source of user dissatisfaction for some applications. n24 DOE also received </w:t>
      </w:r>
      <w:r>
        <w:rPr>
          <w:rFonts w:ascii="arial" w:eastAsia="arial" w:hAnsi="arial" w:cs="arial"/>
          <w:b/>
          <w:i w:val="0"/>
          <w:strike w:val="0"/>
          <w:noProof w:val="0"/>
          <w:color w:val="000000"/>
          <w:position w:val="0"/>
          <w:sz w:val="20"/>
          <w:u w:val="none"/>
          <w:vertAlign w:val="baseline"/>
        </w:rPr>
        <w:t> [*4759] </w:t>
      </w:r>
      <w:r>
        <w:rPr>
          <w:rFonts w:ascii="arial" w:eastAsia="arial" w:hAnsi="arial" w:cs="arial"/>
          <w:b w:val="0"/>
          <w:i w:val="0"/>
          <w:strike w:val="0"/>
          <w:noProof w:val="0"/>
          <w:color w:val="000000"/>
          <w:position w:val="0"/>
          <w:sz w:val="20"/>
          <w:u w:val="none"/>
          <w:vertAlign w:val="baseline"/>
        </w:rPr>
        <w:t xml:space="preserve"> multiple comments in response to the 2014 CPSV Framework document stating that spray force is a performance related feature that could be used to define product classes. The Advocates commented that product classes must be considered to distinguish commercial prerinse spray valves, and that DOE could consider using spray force as one way to delineate separate product classes. (Advocates, No. 11 at p. 2) The CA IOUs urged DOE to consider user satisfaction when considering the efficiency metric, as some field surveys have shown that users that are dissatisfied with efficient commercial prerinse spray valves will substitute them with those that likely increase overall water consumption. Therefore, CA IOUs suggested either incorporating spray force into the efficiency metric, or alternatively, using spray force to establish product classes as a way to account for differentiating products. (CA IOUs, No. 14 at p. 1) T&amp;S Brass commented that the applications of commercial prerinse spray valves could vary from rinsing to cleaning baked-on food, and that the different applications might require different spray forces. T&amp;S Brass stated that it offers a variety of prerinse spray valves that have different design features based on end users' applications. (T&amp;S Brass, Public Meeting Transcript, No. 6 at p. 40) In response to the CPSV NOPR, Chicago Faucets commented that spray force is useful for predicting customer satisfaction. (Chicago Faucets, No. 26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EPA WaterSense, </w:t>
      </w:r>
      <w:r>
        <w:rPr>
          <w:rFonts w:ascii="arial" w:eastAsia="arial" w:hAnsi="arial" w:cs="arial"/>
          <w:b w:val="0"/>
          <w:i/>
          <w:strike w:val="0"/>
          <w:noProof w:val="0"/>
          <w:color w:val="000000"/>
          <w:position w:val="0"/>
          <w:sz w:val="20"/>
          <w:u w:val="none"/>
          <w:vertAlign w:val="baseline"/>
        </w:rPr>
        <w:t>Prerinse Spray Valves Field Study Report,</w:t>
      </w:r>
      <w:r>
        <w:rPr>
          <w:rFonts w:ascii="arial" w:eastAsia="arial" w:hAnsi="arial" w:cs="arial"/>
          <w:b w:val="0"/>
          <w:i w:val="0"/>
          <w:strike w:val="0"/>
          <w:noProof w:val="0"/>
          <w:color w:val="000000"/>
          <w:position w:val="0"/>
          <w:sz w:val="20"/>
          <w:u w:val="none"/>
          <w:vertAlign w:val="baseline"/>
        </w:rPr>
        <w:t xml:space="preserve"> at 24-25 (Mar. 31, 2011) (Available at: </w:t>
      </w:r>
      <w:hyperlink r:id="rId36" w:history="1">
        <w:r>
          <w:rPr>
            <w:rFonts w:ascii="arial" w:eastAsia="arial" w:hAnsi="arial" w:cs="arial"/>
            <w:b w:val="0"/>
            <w:i/>
            <w:strike w:val="0"/>
            <w:noProof w:val="0"/>
            <w:color w:val="0077CC"/>
            <w:position w:val="0"/>
            <w:sz w:val="20"/>
            <w:u w:val="single"/>
            <w:vertAlign w:val="baseline"/>
          </w:rPr>
          <w:t>www.epa.gov/watersense/docs/final_epa_prsv_study_report_033111v2_508.pdf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DOE market research indicates three distinct categories of end-user applications for commercial prerinse spray valves, which require different levels of spray force: (1) Cleaning delicate glassware and removing loose food particles from dishware (which requires the least amount of spray force); (2) cleaning wet foods; and (3) cleaning baked-on foods (which requires the greatest amount of spray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general comments regarding the use of spray force to define separate product classes for commercial prerinse spray valves. T&amp;S Brass recommended that the DOE establish the CPSV efficiency goal based only upon maximum flow rate, as this is directly related to water conservation. (T&amp;S Brass, No. 33 at p. 3) Chicago Faucets commented that the addition of the spray force test into mandated Federal law is unnecessary and counterproductive. Chicago Faucets believes that the focus should be on water conservation. Chicago Faucets stated that the spray force test method has no bearing on water conservation and that it was intended as a tool for marketing and selling spray valves, and nothing more. (Chicago Faucets, No. 26 at p. 2) The North American Association of Food Equipment Manufacturers (NAFEM) stated that it appears to them that DOE is requiring manufacturers to design commercial prerinse spray valves to meet the classification system and spray force requirements which have been pre-determined by DOE. (NAFEM, PMI, No. 31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 commented in response to the CPSV NOPR that there is no evidence that spray force is the only factor for consumer satisfaction and performance in cleaning dishware. (AWE, No. 28 at p. 3) AWE further commented that spray force should be excluded from the proposed rule as it is irrelevant to efficiency, and that the only measure of valve water efficiency is a volumetric measure, stated in gallons per minute. (AWE, No. 28 at p. 3) AWE also stated that high spray force can be a hindrance to performance for some operations due to excessive splash and aerosolizing water. (AWE, No. 28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comments received during the CPSV NOPR public meeting and through written submissions, the majority of the interested parties opposed DOE's product class structure based on spray force, and recommended that DOE maintain a single product class. (Chicago Faucets, No. 26 at pp. 1-2; PMI, No. 27 at p. 1; Fisher, No. 30 at p. 1; Appliance Standards Awareness Project (ASAP), Northwest Energy Efficiency Alliance (NEEA), NRDC, No. 32 at p. 1; Pacific Gas and Electric (PG&amp;E), Southern California Edison (SCE), Southern California Gas Company (SCGC), San Diego Gas and Electric (SDG&amp;E), No. 34 at pp. 1-2; AWE, No. 28 at p. 7; T&amp;S Brass, No. 33 at p. 2) PMI, PG&amp;E, SCE, SCGC, and SDG&amp;E (collectively, the "CA IOUs") and, ASAP and NRDC reiterated their comments in favor of a single product class in response to the CPSV NODA. (PMI, No. 43 at p. 1; CA IOUs, No. 44 at pp. 1-2; ASAP and NRDC, No. 45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several interested parties supported the consideration of spray force for the standard. Fisher stated that the standard should focus on flow rate and spray force, but allow the consumer to determine which of these performance factors will satisfy their requirements. (Fisher, No. 30 at p. 1) ASAP, NEEA, and NRDC (collectively, the "Advocates") and the CA IOUs commented that they support the proposal to add a requirement to measure and report spray force. The Advocates and CA IOUs believe that the addition of spray force will help stakeholders to better understand CPSV product performance and help inform the incorporation of this metric into a future rulemaking. Additionally, the Advocates stated that the collection of spray force product data will also inform the EPA WaterSense program and other efforts to improve water and energy efficiency in commercial kitchens. (Advocates, No. 32 at p. 2; CA IOUs, No. 34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some interested parties generally oppose the use of spray force to define separate product classes for commercial prerinse spray valves. However, DOE received no comments contradicting its conclusion that spray force is a performance-related feature related to consumer utility. DOE also acknowledges that there are other features that could also affect consumer utility of commercial prerinse spray valves, including spray shape and amount of splash back; however, these metrics are not as easily quantifiable as spray force, nor can they be easily tested or defined. Based on the WaterSense studies, the totality of comments received in response to the 2014 CPSV Framework document and CPSV NOPR, and additional market research, DOE concludes that spray force is a performance-related feature that justifies different standard levels. DOE is not establishing a minimum spray force requirement in this final rule; rather, spray force is used only to define the boundaries between the three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Number of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number of product classes, DOE tested and analyzed a wide range of CPSV units on the market, spanning multiple manufacturers, flow rates, and spray shapes. DOE believes that the units analyzed for this rulemaking are representative of the entire CPSV market. DOE's test data and additional market research indicated three clusters of spray force data points, which DOE used as the basis for proposing three separate product classes. Additional details regarding this test data is provided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class 1 included units with spray force less than or equal to 5.0 ounce-force (ozf), product class 2 included units with spray force greater than 5.0 ozf but less than or equal to 8.0 ozf, and product class 3 included units with spray force greater than 8.0 ozf.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regarding the method behind how the product classes were established. Specifically, AWE stated that using a scatter graph of spray force from different models, then dividing into thirds, is not a scientific </w:t>
      </w:r>
      <w:r>
        <w:rPr>
          <w:rFonts w:ascii="arial" w:eastAsia="arial" w:hAnsi="arial" w:cs="arial"/>
          <w:b/>
          <w:i w:val="0"/>
          <w:strike w:val="0"/>
          <w:noProof w:val="0"/>
          <w:color w:val="000000"/>
          <w:position w:val="0"/>
          <w:sz w:val="20"/>
          <w:u w:val="none"/>
          <w:vertAlign w:val="baseline"/>
        </w:rPr>
        <w:t> [*4760] </w:t>
      </w:r>
      <w:r>
        <w:rPr>
          <w:rFonts w:ascii="arial" w:eastAsia="arial" w:hAnsi="arial" w:cs="arial"/>
          <w:b w:val="0"/>
          <w:i w:val="0"/>
          <w:strike w:val="0"/>
          <w:noProof w:val="0"/>
          <w:color w:val="000000"/>
          <w:position w:val="0"/>
          <w:sz w:val="20"/>
          <w:u w:val="none"/>
          <w:vertAlign w:val="baseline"/>
        </w:rPr>
        <w:t xml:space="preserve"> method to classify products. (AWE, No. 28 at p. 3) AWE recommended that the classification system not be implemented and believes that it is arbitrary, unjustified, and its effect on water use is unknown. (AWE, No. 28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selected 5.0 ozf as the spray force cut-off between product class 1 and product class 2 based on DOE's test data and market research, which clearly showed a cluster of CPSV units above and below that threshold. One cluster of CPSV units had spray force ranges between 4.1 and 4.8 ozf, and the other cluster was between 5.5 and 7.7 ozf. Additionally, in comments to the 2014 CPSV Framework document, T&amp;S Brass suggested a flow rate cut-off of 0.80 gpm between the "ultra-low-flow" and "low-flow" commercial prerinse spray valves. (T&amp;S Brass, No. 12 at p. 3) A flow rate of 0.80 gpm equates to 5.3 ozf using the flow rate-spray force linear relationship determined by DOE. Based on these considerations, DOE established the threshold between the two classes at 5.0 ozf.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selected 8.0 ozf as the spray force cut-off between product class 2 and product class 3 based on test results of commercial prerinse spray valves with shower-type spray shapes. Shower-type spray shapes provide the distinct utility of minimizing "splash back" which can be associated with nozzle-type designs at higher flow rates. In addition to the three clusters of data points in the flow rate-spray force plot, DOE testing showed that the upper range of the market, in terms of flow rate, predominantly includes shower-type units. DOE found that the lowest tested spray force of any shower-type unit was 8.1 ozf. Additionally, in comments to the 2014 CPSV Framework document, T&amp;S Brass suggested a flow rate cut-off of 1.28 gpm between the "low-flow" and "standard" commercial prerinse spray valves. (T&amp;S Brass, No. 12 at p. 3) A flow rate of 1.28 gpm equates to 8.5 ozf using the flow rate-spray force linear relationship determined by DOE. Based on these considerations, DOE selected 8.0 ozf to differentiate product class 3 units from other commercial prerinse spray valves available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CPSV NOPR, DOE believed that each of these defined spray force ranges is associated with unique consumer utility for specific CPSV applications. Specifically, product class 1 provides distinct utility for cleaning delicate glassware and removing loose food particles from dishware, product class 2 provides distinct utility for cleaning wet foods, and product class 3 provides distinct utility for cleaning baked-on foods. DOE believes that these categorizations appropriately reflect the various end uses of commercial prereinse spray valves and has defined the three product classes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interested parties commented that the proposed product classes would limit manufacturers' product designs and innovation, and create confusion to consumers. (T&amp;S Brass, Public Meeting Transcript, No. 23 at pp. 51-52; Chicago Faucets, Public Meeting Transcript, No. 23 at pp. 49-51; NAFEM, PMI, No. 31 at p. 1; PMI, No. 27 at p. 1; Chicago Faucets, No. 26 at p. 2; T&amp;S Brass, No. 33 at p. 2; AWE, No. 28 at p. 6; CA IOUs, No. 44 at p. 2) Specifically, AWE stated that the classifications could alter the market in a manner that deters the use of more efficient and better performing products. (AWE, No. 28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maintaining flow rate as the regulated efficiency metric and creating three product classes, DOE believes the product class structure would not prescribe or limit any particular design options for CPSV manufacturers. DOE's technology assessment and screening analysis identified multiple possible design options that manufacturers could implement to achieve reductions in flow rate, which apply to both shower-type and nozzle-type commercial prerinse spray valves. In addition, manufacturers would not be precluded from implementing other innovative design options that may be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DOE does not expect the product class structure to create confusion for the consumer, because DOE market research indicates that CPSV marketing materials predominantly highlight the spray pattern shape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solid stream, shower, fan) and flow rate of CPSV models. The product class structure does not prescribe any changes to the type of information manufacturers can provide in CPSV marketing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stated that different product classes are not marketed to consumers that would necessitate three different product standards based on spray force. According to the CA IOUs, commercial prerinse spray valves are marketed based on physical dimensions, and in some cases flow rate. (CA IOUs, No. 34 at pp. 1-2; CA IOUs, No. 44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has not specified any labeling requirements in this final rule. DOE only requires that manufacturers provide the information contained in the certification reports when certifying that all applicable CPSV models are compliant with the standard. DOE is not requiring that the product classes be used to market commercial prerinse spray valves; the product classes are used to determine the applicable standard, and are used for certification, compliance, and enforcement purposes. See section III.C for more details on compliance, certification and enforcement. Therefore, DOE does not expect that the product class structure would alter the market and deter the use of higher-efficiency and better performing products, as the representation of the commercial prerinse spray valves will continue to be in terms of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 commented that there is no evidence presented as to how a consumer should choose between the different classifications, and that consumer choice tends to gravitate towards "heavy-duty" under the false premise that bigger is better. (AWE, No. 28 at pp. 3-4) The Advocates stated that if DOE creates the three product classes, then it would drive the market to the "heavy-duty" class. The Advocates expressed concern that without the benefit of the current distribution of CPSV market shares based on flow rate, creating three product classes could increase the average flow rate of products sold in the market. (Advocates, No. 32 at p. 2; ASAP and NRDC, No. 45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realizes that consumers may switch between product classes, and the flow rate of commercial prerinse spray valves used by some consumers may increase instead of decrease due to energy conservation standards. DOE analyzed the effects of product class switching in the downstream analyses and evaluated the results of product class switching when setting a standard in section V.C.1. A detailed description of DOE's method to model product class switching is contained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comments on the naming convention used for the proposed product classes in the CPSV NOPR. T&amp;S Brass recommended changing the product class names because the "heavy-duty" term is already widely used in the industry to represent products that last long. (T&amp;S Brass, Public Meeting Transcript, No. 23 at pp. 110-111) During the public meeting, DOE requested that stakeholders provide an alternate naming convention for the product classes. Chicago Faucets stated that the proposed product class names, especially "light duty," may prevent customers from choosing the lower flow products. Users prefer durable, heavy duty products, particularly in </w:t>
      </w:r>
      <w:r>
        <w:rPr>
          <w:rFonts w:ascii="arial" w:eastAsia="arial" w:hAnsi="arial" w:cs="arial"/>
          <w:b/>
          <w:i w:val="0"/>
          <w:strike w:val="0"/>
          <w:noProof w:val="0"/>
          <w:color w:val="000000"/>
          <w:position w:val="0"/>
          <w:sz w:val="20"/>
          <w:u w:val="none"/>
          <w:vertAlign w:val="baseline"/>
        </w:rPr>
        <w:t> [*4761] </w:t>
      </w:r>
      <w:r>
        <w:rPr>
          <w:rFonts w:ascii="arial" w:eastAsia="arial" w:hAnsi="arial" w:cs="arial"/>
          <w:b w:val="0"/>
          <w:i w:val="0"/>
          <w:strike w:val="0"/>
          <w:noProof w:val="0"/>
          <w:color w:val="000000"/>
          <w:position w:val="0"/>
          <w:sz w:val="20"/>
          <w:u w:val="none"/>
          <w:vertAlign w:val="baseline"/>
        </w:rPr>
        <w:t xml:space="preserve"> commercial applications where commercial prerinse spray valves are most commonly used. Therefore, Chicago Faucets suggested using "Level 1", "Level 2", and "Level 3" instead. (Chicago Faucets, No. 26 at p. 3) Fisher stated that the terms "heavy duty", "standard duty", and "light duty" should not be used as the terminology for the different product classes. (Fisher, No. 30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feedback from interested parties, DOE has renamed the product classes in this final rule as product class 1, product class 2, and product class 3 instead of "light-duty," "standard-duty," and "heavy-duty," respectively. DOE also notes that the product class names defined by DOE do not restrict how manufacturers may refer to their products in marketing literature, provided that such products meet the appropriate standard based on DOE's defined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also received comments regarding potential other product classes that could be considered in future rulemakings. The Advocates commented that there is some market differentiation between commercial prerinse spray valves intended for cleaning dishware before sanitizing in a commercial dishwasher, and commercial prerinse spray valves intended for pot and pan cleaning. The Advocates recommended that DOE may wish to consider product classes based on such existing market differentiation during the next update to the standards. (Advocates, No. 32 at p. 2) CA IOUs stated that the market appears to be moving towards different usage type, such as dining and pot cleaning spray valves. CA IOUs recommended when DOE begins the process of a new energy conservation standard in a future rulemaking, that DOE should consider separate standards for dining and pot and pan cleaning. (CA IOUs, No. 34 at p. 2; CA IOUs, No. 44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CPSV NOPR technology assessment, DOE identified six technology options that would improve the efficiency of commercial prerinse spray valves, as measured by the CPSV DOE test procedure. These include the following: (1) Addition of flow control insert, (2) smaller spray hole area, (3) aerators, (4) additional valves, (5) changing spray hole shape, and (6) venturi meter to orifice plate nozzle geometries.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one comment in support of the venturi meter to orifice plate nozzle geometry technology option. CA IOUs supported DOE's consideration of implementing an orifice plate nozzle design to produce a lower flow rather than a venturi meter nozzle with similar inlet and outlet dimensions. (CA IOUs, No. 34 at pp. 2-3) AWE, on the other hand, opposed design-restrictive requirements in a specification unless health and/or safety are at risk. Instead, AWE stated that it is appropriate to mandate an outcome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gallons per minute) directly related to water and energy efficiency, rather than pre-determine design parameters. Once the desired outcome is defined, manufacturers will innovate and develop products that yield the mandated outcomes. (AWE, No. 28,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rulemaking analysis process, DOE analyzes technology options that can be implemented to improve the efficiency of a covered product. The technology options identified for commercial prerinse spray valves provide feasible means for decreasing flow rate (or increasing efficiency) to meet the amended standard. However, DOE does not mandate any technology options that can be used to meet the amended standard. Manufacturers can use all technologies available to them to meet the amended energy conservation standard. In addition, manufacturers would also not be precluded from implementing other innovative design options that may be developed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analyzed the same six technology options that were described in the CPSV NOPR. Chapter 3 of the final rule TSD provides additional details on all the technology options identified by DOE as part of the technology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DOE determines that a technology, or a combination of technologies, fails to meet one or more of the previously mentioned four criteria, it will be excluded from further consideration in the engineering analysis. The reasons for eliminating any technology are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CPSV NOPR, DOE screened out the following technology options: The addition of a flow control insert, aerators, and additional valves. DOE did not receive any comments regarding the design options that were screened out. The remaining technology options listed in section IV.A.3 met all four screening criteria and were analyzed in the CPSV NOPR. DOE did not receive any additional comments regarding these technology options. Therefore, DOE did not screen out the following technology options for the final rule analysis: (1) Smaller spray hole area, (2) changing spray hole shape, and (3) venturi meter to orifice plate nozzle geometries.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 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see chapter 4 of the final rule TSD. </w:t>
      </w:r>
      <w:r>
        <w:rPr>
          <w:rFonts w:ascii="arial" w:eastAsia="arial" w:hAnsi="arial" w:cs="arial"/>
          <w:b/>
          <w:i w:val="0"/>
          <w:strike w:val="0"/>
          <w:noProof w:val="0"/>
          <w:color w:val="000000"/>
          <w:position w:val="0"/>
          <w:sz w:val="20"/>
          <w:u w:val="none"/>
          <w:vertAlign w:val="baseline"/>
        </w:rPr>
        <w:t> [*4762]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CPSV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 assessment). The design-option approach involves adding the estimated cost and associated efficiency of various efficiency-improving design changes to the baseline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DOE structured its engineering analysis for commercial prerinse spray valves using a combination of the design option approach and the reverse-engineering approach. The analysis is performed in terms of incremental increases in efficiency (decreases in flow rate) due to the implementation of selected design options, while the estimated MPCs for each successive design option are based on product teardowns and a bottom-up manufacturing cost assessment. Using this hybrid approach, DOE developed the relationship between MPC and CPSV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final rule TSD discusses the baseline efficiencies for each product class (in terms of flow rate), the design options DOE considered, the methodology used to develop manufacturing production costs, and the cost-efficiency relationships. The LCC and PBP analysis uses the cost-efficiency relationships developed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Engineering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three adopted product classes, DOE selected a baseline efficiency (in terms of flow rate) as a reference point from which to measure changes resulting from each design option. DOE then developed separate cost-efficiency relationships for each product class analyzed. The following is a summary of the method DOE used to determine the cost-efficiency relationship for commercial prerinse spray 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 flow rate and spray force tests on a representative sample of commercial prerinse spray valves in every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 a detailed BOM for the tested commercial prerinse spray valves through product teardowns, and construct a commercial prerinse spray valve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Use the test data and cost model to calculate the incremental increase in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decrease in flow rate) and cost increase of adding specific design options to a baseline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CPSV NOPR, NAFEM stated that DOE has not tested commercial prerinse spray valves in real life foodservice settings. NAFEM believes that consumer satisfaction is essential for the companies selling these products. (NAFEM, No. 31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not performed testing in foodservice settings because DOE test procedures, not field performance, must be used to determine whether the products comply with standards adopted pursuant to EPCA. (</w:t>
      </w:r>
      <w:hyperlink r:id="rId8"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Instead, DOE conducted multiple commercial prerinse spray valve tests according to the amended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Linear Relationship Spray Force and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CPSV NOPR public meeting, DOE presented the relationship between spray force and flow rate. This relationship was determined using DOE test data for spray force and flow rate for a wide range of commercial prerinse valves. The tested units included the entire spectrum of available spray patterns and flow rates that DOE was aware of at the time of the analysis. In addition, DOE collected supplementary data from DOE's CCMS, the U.S. EPA WaterSense program, and FSTC reports. DOE analyzed the collected data and found a strong linear relationship between flow rate and spray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related to the spray force and flow rate relationship. NRDC requested that DOE consider identifying the configuration of the commercial prerinse spray valves in the spray force-flow rate relationship without revealing the individual model. (NRDC, Public Meeting Transcript, No. 23 at p. 45) DOE updated the flow rate-spray force plot in this final rule to identify commercial prerinse spray valves that have shower-type spray patterns. The updated relationship can be found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T&amp;S Brass stated that the relationship between spray force and flow rate does not address consumer satisfaction. Instead, the relationship assumes that consumers are satisfied with all products. (T&amp;S Brass, Public Meeting Transcript, No. 23 at 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different CPSV products may provide different levels of consumer satisfaction. DOE believes, however, that the amended standards promulgated in this final rule for the three defined product classes will maintain the same variety of product features on the market as under the current standard. DOE's analysis indicates that the amended standards will not result in a loss of consumer utility compared to the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T&amp;S Brass stated that while the flow rate values for the basic models are included in the relationship between spray force and flow rate, the impact of market share is not included. Therefore, if market share was included, there will be more data points on the higher end of flow rate. However, T&amp;S Brass also commented that even with the additional data points, the linear relationship will not change. (T&amp;S Brass, Public Meeting Transcript, No. 23 at pp. 48-49) Since publishing the CSPV NOPR, DOE tested additional units from product class 3, and added the test results for the units that were compliant with DOE's current CPSV standard (1.6 gpm) to the relationship shown in chapter 5 of the final rule TSD. The relationship continues to show flow rate varies linearly with spray force, irrespective of market share. However, based on the comment from T&amp;S Brass, DOE has updated the assumption in the shipments analysis to account for more shipments in product class 3. This is presented in section IV.G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Baseline and Max-Tech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analyze design options for energy efficiency improvements, DOE defined a baseline model for each product class. Typically, the baseline model is a model that meets current energy conservation standards. DOE defined the baseline efficiency for all product classes as the current Federal standard of 1.6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defined the market baseline for product classes 1 and 2 as the greater of (1) the highest flow rate in the class that meets the Federal standard, or (2) the flow rate at the upper spray force bound of the product class as predicted by the spray force-flow rate linear relationship described in chapter 5 of the TSD. The most consumptive unit that was tested in product class 1 had a flow rate of 0.97 gpm, which exceeds the 0.75 gpm predicted by the linear relationship between spray force and flow rate for </w:t>
      </w:r>
      <w:r>
        <w:rPr>
          <w:rFonts w:ascii="arial" w:eastAsia="arial" w:hAnsi="arial" w:cs="arial"/>
          <w:b/>
          <w:i w:val="0"/>
          <w:strike w:val="0"/>
          <w:noProof w:val="0"/>
          <w:color w:val="000000"/>
          <w:position w:val="0"/>
          <w:sz w:val="20"/>
          <w:u w:val="none"/>
          <w:vertAlign w:val="baseline"/>
        </w:rPr>
        <w:t> [*4763] </w:t>
      </w:r>
      <w:r>
        <w:rPr>
          <w:rFonts w:ascii="arial" w:eastAsia="arial" w:hAnsi="arial" w:cs="arial"/>
          <w:b w:val="0"/>
          <w:i w:val="0"/>
          <w:strike w:val="0"/>
          <w:noProof w:val="0"/>
          <w:color w:val="000000"/>
          <w:position w:val="0"/>
          <w:sz w:val="20"/>
          <w:u w:val="none"/>
          <w:vertAlign w:val="baseline"/>
        </w:rPr>
        <w:t xml:space="preserve"> the product class 1 upper spray force bound of 5.0 ozf. DOE rounded the market baseline flow rate of product class 1 to 1.00 gpm. The market baseline for product class 2, predicted by the spray force-flow rate linear relationship, is 1.20 gpm at the upper spray force bound of 8.0 ozf. DOE did not find any commercial prerinse spray valves in product class 2 that exceed this flow rate. For product class 3, the market baseline equals the Federal flow rate standard of 1.60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also identified the lowest flow rate that is commercially available within each product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model). DOE determined the max-tech level as the least consumptive tested commercial prerinse spray valve in each product class. The max-tech levels for product classes 1, 2, and 3 are 0.62, 0.73, and 1.13 gpm, respectively. Finally, DOE also defined intermediate efficiency levels between the baseline and max-tech levels for each product class. Further information about DOE's efficiency level definitions is provided in chapter 5 of the final rule TSD. Table IV.1 through Table IV.3 provide the updated efficiency levels for all three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IV.1--Efficiency Levels for CPSV Product Class 1</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force &lt;/= 5.0 ozf]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Federal standard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minimum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improvement over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minimum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improvement over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minimum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technologically-feasible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IV.2--Efficiency Levels for CPSV Product Class 2</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 ozf &lt; spray force &lt;/= 8.0 ozf]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Federal standard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minimum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improvement over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minimum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improvement over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minimum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technologically-feasible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IV.3--Efficiency Levels for CPSV Product Class 3</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force &gt; 8.0 ozf]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Federal standard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improvement over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WaterSense level; 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over baseline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technologically-feasible</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updates to the engineering analysis in the CPSV NODA, CA IOUs stated that DOE should provide a reason for changing the efficiency level 2 for product class 3 from 1.24 gpm to 1.28 gpm. (CA IOUs, No. 44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flow rate for efficiency level 2 for product class 3 remains unchanged at 1.28 gpm since the CPSV NOPR. Instead, DOE has only updated the max-tech level of product class 3 since the CPSV NOPR. In the CPSV NOPR, the max-tech level for product class 3 was set at 1.24 gpm based on test results. After the CPSV NOPR, DOE performed additional testing and based on these test results, DOE identified a new max-tech level for product class 3. Therefore, DOE revised the max-tech level in product class 3 from 1.24 gpm to 1.13 gpm.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CPSV NOPR Standard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CPSV NOPR, DOE proposed the standard levels to be 0.65, 0.97, and 1.24 gpm for light, standard, and heavy-duty product classes, respectively. </w:t>
      </w:r>
      <w:hyperlink r:id="rId19" w:history="1">
        <w:r>
          <w:rPr>
            <w:rFonts w:ascii="arial" w:eastAsia="arial" w:hAnsi="arial" w:cs="arial"/>
            <w:b w:val="0"/>
            <w:i/>
            <w:strike w:val="0"/>
            <w:noProof w:val="0"/>
            <w:color w:val="0077CC"/>
            <w:position w:val="0"/>
            <w:sz w:val="20"/>
            <w:u w:val="single"/>
            <w:vertAlign w:val="baseline"/>
          </w:rPr>
          <w:t>80 FR 39487.</w:t>
        </w:r>
      </w:hyperlink>
      <w:r>
        <w:rPr>
          <w:rFonts w:ascii="arial" w:eastAsia="arial" w:hAnsi="arial" w:cs="arial"/>
          <w:b w:val="0"/>
          <w:i w:val="0"/>
          <w:strike w:val="0"/>
          <w:noProof w:val="0"/>
          <w:color w:val="000000"/>
          <w:position w:val="0"/>
          <w:sz w:val="20"/>
          <w:u w:val="none"/>
          <w:vertAlign w:val="baseline"/>
        </w:rPr>
        <w:t xml:space="preserve"> DOE received comments on the loss of product availability regarding the proposed standards as well as several other comments about the standard levels, which are addressed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Availability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AWE commented that the CPSV NOPR proposal has design-restrictive requirements and will likely lead to less diverse products on the market. (AWE, No. 28 at pp. 6-7) AWE recommended that the rule include the use of WaterSense test criteria to determine compliance to any Federal minimum standard. (AWE, No. 28 at p. 4) AWE also stated that the proposed spray force criteria are in direct conflict with WaterSense criteria, and that only 3 of the 22 prerinse spray valves currently meeting WaterSense specifications also meet the minimum requirements proposed in this rulemaking. AWE commented that the remaining 19 products, together with the new WaterSense products about to be released, would no longer be compliant with the DOE standard. (AWE, No. 28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Chicago Faucets expressed a similar concern that the levels proposed in the CPSV NOPR are too stringent, stating </w:t>
      </w:r>
      <w:r>
        <w:rPr>
          <w:rFonts w:ascii="arial" w:eastAsia="arial" w:hAnsi="arial" w:cs="arial"/>
          <w:b/>
          <w:i w:val="0"/>
          <w:strike w:val="0"/>
          <w:noProof w:val="0"/>
          <w:color w:val="000000"/>
          <w:position w:val="0"/>
          <w:sz w:val="20"/>
          <w:u w:val="none"/>
          <w:vertAlign w:val="baseline"/>
        </w:rPr>
        <w:t> [*4764] </w:t>
      </w:r>
      <w:r>
        <w:rPr>
          <w:rFonts w:ascii="arial" w:eastAsia="arial" w:hAnsi="arial" w:cs="arial"/>
          <w:b w:val="0"/>
          <w:i w:val="0"/>
          <w:strike w:val="0"/>
          <w:noProof w:val="0"/>
          <w:color w:val="000000"/>
          <w:position w:val="0"/>
          <w:sz w:val="20"/>
          <w:u w:val="none"/>
          <w:vertAlign w:val="baseline"/>
        </w:rPr>
        <w:t xml:space="preserve"> that 86 percent of the products certified to voluntary Federal EPA WaterSense requirements will be obsolete and the investments in the WaterSense program will not be recovered. Chicago Faucets stated that this might lead to limited resources in the future for this product. Additionally, Chicago Faucets stated that 60 percent of the models in the spray force and flow rate graph presented in the CPSV NOPR would not pass the new requirement. Chicago Faucets believes that the more stringent requirements could easily disrupt the free market, eliminating the majority of the products offered today and restricting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reducing the number of manufacturers of CPSV products. (Chicago Faucets, No. 26 at pp. 2-3) NAFEM also commented that the proposed standard will require the manufacturers to abandon current products and the investment they made. (NAFEM, No. 28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T&amp;S Brass commented that the proposed standard would eliminate multi-orifice showerhead-type spray valves. Single-orifice type spray valves could have applications where there is a lot of splash back. Therefore, customers will be forced into products that they will not be satisfied with. (T&amp;S Brass, Public Meeting Transcript, No. 23 at p.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IOUs disagreed with T&amp;S Brass and stated that commercial prerinse spray valves with single orifice, multi orifice, or venturi meter nozzle designs would be able to meet the 1.24 gpm standard, based on their own testing results. Additionally, CA IOUs did not observe any splash back issues with a single orifice nozzle design, nor did they observe any concerns about splash back based upon customer interviews. (CA IOUs, No. 34 at pp.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establishes that DOE may not prescribe an amended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8"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In this final rule, DOE revised the efficiency level definitions and the analysis of the trial standard levels (TSL) based on feedback from interested parties. The amended standards adopted in this final rule are less stringent than those proposed in the CPSV NOPR for all three product classes. DOE notes that the amended standards adopted in this final rule are set at the market minimum for product class 1 and product class 2 at 1.00 gpm and 1.20 gpm respectively. The amended standards for these product classes have no impact on the current CPSV market, because all CPSV models in those product classes already meet the market minimum level. In product class 3, the amended standard is set at the WaterSense level of 1.28 gpm, and approximately 55 percent of CPSV units in product class 3 already meet this level. The 1.28 gpm level maintains the availability of multi-orifice shower-type units on the market, as described further in the following section. More discussion on the amended standard and the discussion on the TSL selections are provided in section IV.C.4.b, and section V.C.1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about the standard levels that were proposed in the CPSV NOPR. Chicago Faucets expressed concern with the flow rate levels proposed in the CPSV NOPR and noted that the proposed flow rates are only hundredths of one gallon per minute lower than the common flow rates used in the plumbing industry of 1.00 gpm and 1.25 gpm. (Chicago Faucets, No. 26 at p. 3) Chicago Faucets also commented that if DOE were to move forward with the CPSV NOPR approach, DOE should use standard levels of 0.65 gpm, 1.00 gpm, and 1.25 gpm for light duty, standard duty, and heavy duty, respectively. (Chicago Faucets, No. 26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Advocates and CA IOUs recommended that DOE amend the standard to be a maximum flow rate of 1.24 gpm for all commercial prerinse spray valves. The Advocates and the CA IOUs recommended this flow rate, because they believe that 1.24 gpm is a technologically feasible efficiency level, and would realize significant water and energy savings and still maintain a positive LCC. (Advocates, No. 11 at p. 2) Additionally, CA IOUs stated that based on their testing, the 1.24 gpm level was feasible for equipment from different manufacturers, while also maintaining product performance. (CA IOUs, No. 34 at p. 2) In response to the CPSV NODA, the CA IOUs, ASAP and NRDC reiterated that DOE should adopt a single 1.24 gpm level for all product classes. (CA IOUs, No. 44 at p. 2; ASAP and NRDC, No. 45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PMI recommended that DOE replace the proposed three product classes with a single product class that contains the 1.28 gpm WaterSense level. (PMI, No. 43 at p. 1) AWE stated that setting a Federal maximum at 1.28 gpm would prevent WaterSense from establishing a commercial prerinse spray valve program with a significantly lower water use threshold. (AWE, No. 28 at p. 7) T&amp;S Brass stated if DOE ultimately decides to adopt the current EPA WaterSense specification at 1.28 gpm for commercial prerinse spray valves, that a reasonable transition period from the voluntary to mandatory status would be an effective date of January 2020. (T&amp;S Brass, No. 12 at p. 3) Similarly, AWE urged DOE to postpone this rulemaking process for at least 2 years to prevent an industry-wide backlash against water efficiency. (AWE, No. 28 at pp. 7-8) AWE further recommended that DOE postpone this rulemaking by at least 2 years until additional data can be obtained through the WaterSense reporting process. (AWE, No. 28 at pp.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presented in section I, DOE is adopting standard levels of 1.00 gpm, 1.20 gpm and 1.28 gpm for product classes 1, 2 and 3, respectively. The adopted standards are set at the market minimum level for product classes 1 and 2, and at the WaterSense level for product class 3. DOE believes that these flow rates are the minimum flow rates for each product class that would not induce consumers to switch product classes. DOE also notes that the 1.28 gpm standard for product class 3 alleviates many of the concerns expressed by interested parties because (1) the engineering analysis shows that the 1.28 gpm level is technologically feasible; (2) interested parties, including the trade organization PMI, certain efficiency advocates and a manufacturer, commented that 1.28 gpm would be an appropriate standard level that would not negatively impact consumer utility for the highest-flow product class, and (3) the 1.28 gpm level represents the WaterSense Program criteria, which was developed in a collaborative process between EPA and interested parties, including manufacturers. In addition, the amended standard standards for product classes 1 and 2 have no impact on the current CPSV market, because all CPSV models in those product classes already meet the market minimum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discussion on this standard level is in sections V.A and V.C.1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compliance date of the amended standards, EPCA states that a manufacturer shall not be required to apply new standards to a product with respect to which other new standards have been required during the prior 6 year period. (EPCA U.S.C. 6295(m)(4)(B)) As described earlier in this document, the current standard became effective January 1, 2006. Manufacturers will have 3 years to </w:t>
      </w:r>
      <w:r>
        <w:rPr>
          <w:rFonts w:ascii="arial" w:eastAsia="arial" w:hAnsi="arial" w:cs="arial"/>
          <w:b/>
          <w:i w:val="0"/>
          <w:strike w:val="0"/>
          <w:noProof w:val="0"/>
          <w:color w:val="000000"/>
          <w:position w:val="0"/>
          <w:sz w:val="20"/>
          <w:u w:val="none"/>
          <w:vertAlign w:val="baseline"/>
        </w:rPr>
        <w:t> [*4765] </w:t>
      </w:r>
      <w:r>
        <w:rPr>
          <w:rFonts w:ascii="arial" w:eastAsia="arial" w:hAnsi="arial" w:cs="arial"/>
          <w:b w:val="0"/>
          <w:i w:val="0"/>
          <w:strike w:val="0"/>
          <w:noProof w:val="0"/>
          <w:color w:val="000000"/>
          <w:position w:val="0"/>
          <w:sz w:val="20"/>
          <w:u w:val="none"/>
          <w:vertAlign w:val="baseline"/>
        </w:rPr>
        <w:t xml:space="preserve"> comply with the amended standards after publication of this final rule. DOE believes that 3 years is sufficient time for manufacturers to transition products to the amended standard level. DOE also notes that the effective date of the amended standards in this final rule will be more than 6 years after the voluntary WaterSense specification date of September 19,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standard levels set in this final rule also alleviate the concern about product class switching that was raised by CA IOUs. CA IOUs suggested using one product class, because one of the benefits is that it would not result in product class switching. (CA IOUs, No. 34 at p. 2) DOE does not expect product class switching to occur under the amended standards promulgated by this final rule, as the standard levels for product classes 1 and 2 do not move consumers from the current market minimums. A detailed description of DOE's method to model product class switching is contained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Manufacturing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manufacturing costs using a reverse-engineering approach, which involves a bottom-up manufacturing cost assessment based on a detailed BOM derived from teardowns of the product being analyzed. The detailed BOM includes labor costs, depreciation costs, utilities, maintenance, tax, and insurance costs, in addition to the individual component costs. These manufacturing costs are developed to be an industry average and do not take into account how efficiently a particular manufacturing facility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the relationship between cost and performance for commercial prerinse spray valves, DOE used a reverse-engineering analysis, or teardown analysis. DOE purchased off-the-shelf commercial prerinse spray valves available on the market and dismantled them component by component to determine what technologies and designs manufacturers use to decrease CPSV flow rate. DOE then used independent costing methods, along with component-supplier data, to estimate the costs of the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detailed manufacturing cost estimate data based on its reverse engineering analysis, which included the cost of the product components, labor, purchased parts and materials,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portion of DOE's test sample included four product series from four different manufacturers. Through testing, DOE found that the flow rates of the units varied within each series. However, based on the reverse-engineering analysis, the manufacturing costs for the units within each series were the same. Therefore, DOE concluded that there is no manufacturing cost difference for incremental efficiency improvements between models within the same series from the same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tested and performed a teardown analysis on commercial prerinse spray valves from additional manufacturers. These commercial prerinse spray valves represented a range of market baseline to max-tech units in each class. The testing and teardown results indicated that the manufacturing costs between different units from different manufacturers can vary based on the type of material, amount of material, and/or process used. However, DOE determined that these factors do not affect the efficiency of a commercial prerinse spray valve. Therefore, DOE did not include these cost differences in the engineering analysis. Chapter 5 of the final rule TSD provides further details on the teardown analysis, component costs, and costs that were developed as part of the cost-efficiency curves.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markups analysis is to translate the MPC derived from the engineering analysis into the final consumer purchase price by applying the appropriate markups. The first step in this process is converting the MPC into the manufacturer selling price (MSP) by applying the manufacturer markup. The manufacturer markup accounts for cost of sales, general and administrative expenses, research and development costs, other corporate expenses, and profit. As described further in chapter 6 of the final rule TSD, the manufacturer markup of 1.30 was calculated as the market share weighted average value for the industry. DOE developed this manufacturer markup by examining several major CPSV manufacturers' gross margin information from annual reports and Securities and Exchange Commission 10-K reports. Because the 10-K reports do not provide gross margin information at the subsidiary level, the estimated markups represent the average markups that the parent company applies over its entire range of product offerings, and does not necessarily represent the manufacturer markup of the subsidiary. Both the MPC and the MSP values are used in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uses manufacturer-to-consumer markups to convert the MSP into a consumer purchase price, which is then used in the LCC and PBP analysis, as well as the NIA. Consumer purchase prices are necessary for the baseline efficiency level and all other efficiency levels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the consumer purchase price depends on the distribution channel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the product is distributed from the manufacturer to the consumer) the consumer uses to purchase the product. DOE identified the following distribution channels for commercial prerinse spray 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--&gt; Final Consumer (Direct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--&gt; Authorized Distributor --&gt; Final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Manufacturer --&gt; Retailer --&gt; Final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Manufacturer --&gt; Service Company --&gt; Final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markups are multipliers that convert the MSP of products at the baseline efficiency level to consumer purchase price. Incremental markups are multipliers that convert the incremental increase in MSP for products at each higher efficiency level (compared to the MSP at the baseline efficiency level) to corresponding incremental increases in the consumer purchase price. Consistent with the CPSV NOPR, in the analysis in this final rule, DOE used only baseline markups to convert the MSP of products to the consumer purchase price. This is due to the fact that the engineering analysis indicated that there is no price increase with improvements in efficiency for commercial prerinse spray valves. Thus, incremental markups were not required. Chapter 6 of the final rule TSD provides further details on the distribution channels and calculated markups. No comments regarding the markups analysis or distribution chains were received from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and Water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and water use analysis is to determine the annual energy and water consumption of commercial prerinse spray valves to assess the associated energy and water savings potential of different product efficiencies. The energy and water use analysis estimates the range of energy and water use of commercial prerinse spray valves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To this end, DOE performed an energy and water use analysis that calculated energy and water use of commercial prerinse spray valves for each product class and efficiency level identified in the engineering analysis. The energy and water use analysis provides the basis for other analyses DOE performed, </w:t>
      </w:r>
      <w:r>
        <w:rPr>
          <w:rFonts w:ascii="arial" w:eastAsia="arial" w:hAnsi="arial" w:cs="arial"/>
          <w:b/>
          <w:i w:val="0"/>
          <w:strike w:val="0"/>
          <w:noProof w:val="0"/>
          <w:color w:val="000000"/>
          <w:position w:val="0"/>
          <w:sz w:val="20"/>
          <w:u w:val="none"/>
          <w:vertAlign w:val="baseline"/>
        </w:rPr>
        <w:t> [*4766] </w:t>
      </w:r>
      <w:r>
        <w:rPr>
          <w:rFonts w:ascii="arial" w:eastAsia="arial" w:hAnsi="arial" w:cs="arial"/>
          <w:b w:val="0"/>
          <w:i w:val="0"/>
          <w:strike w:val="0"/>
          <w:noProof w:val="0"/>
          <w:color w:val="000000"/>
          <w:position w:val="0"/>
          <w:sz w:val="20"/>
          <w:u w:val="none"/>
          <w:vertAlign w:val="baseline"/>
        </w:rPr>
        <w:t xml:space="preserve"> particularly assessments of the energy and water savings and the savings in consumer operating costs that could result from adoption of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CPSV NOPR analysis, DOE calculated the energy and water use by determining the representative daily operating time of the product by major building types that contain commercial kitchens found in the Commercial Building Energy Consumption Survey (CBECS). n25 The daily CPSV operating time was annualized based on operating schedules for each building type. Annual water use for each product class was determined by multiplying the annual operating time by the flow rate at an operating pressure of 60 psi, in accordance with the amended DOE test procedure, for each efficiency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Survey data available at </w:t>
      </w:r>
      <w:hyperlink r:id="rId37" w:history="1">
        <w:r>
          <w:rPr>
            <w:rFonts w:ascii="arial" w:eastAsia="arial" w:hAnsi="arial" w:cs="arial"/>
            <w:b w:val="0"/>
            <w:i/>
            <w:strike w:val="0"/>
            <w:noProof w:val="0"/>
            <w:color w:val="0077CC"/>
            <w:position w:val="0"/>
            <w:sz w:val="20"/>
            <w:u w:val="single"/>
            <w:vertAlign w:val="baseline"/>
          </w:rPr>
          <w:t>www.eia.gov/consumption/commercial/data/2003/index.cfm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site energy use was calculated by multiplying the annual water use in gallons by the energy required to heat each gallon of water to an end-use temperature of 108 [degrees] F. n26 Cold water supply temperatures used in this calculation were derived for the nine U.S. census regions based on ambient air temperatures and the hot water supply temperature was assumed to be 140 [degrees] F based on American Society of Heating, Refrigerating, and Air-Conditioning Engineers (ASHRAE) Standard 12-2000 regarding the appropriate hot water temperatures necessary to prevent legionellosis and other bacterial diseases. n27 The proportion of buildings which used natural gas or electricity for water heating found in the CBECS database were multiplied by the energy consumption of each kind of water heater, taking into account the efficiency level of the product, to obtain the total energy consumption of each product class and efficiency level of commercial prerinse spray 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End-use temperature was determined based on a review of several field studies. See chapter 7 of the CPSV NOPR TSD for a list of the field studies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ASHRAE Standard 12-2000: Minimizing the Risk of Legionellosis Associated with Building Water Systems,</w:t>
      </w:r>
      <w:r>
        <w:rPr>
          <w:rFonts w:ascii="arial" w:eastAsia="arial" w:hAnsi="arial" w:cs="arial"/>
          <w:b w:val="0"/>
          <w:i w:val="0"/>
          <w:strike w:val="0"/>
          <w:noProof w:val="0"/>
          <w:color w:val="000000"/>
          <w:position w:val="0"/>
          <w:sz w:val="20"/>
          <w:u w:val="none"/>
          <w:vertAlign w:val="baseline"/>
        </w:rPr>
        <w:t xml:space="preserve"> (February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CPSV NOPR, DOE received several comments related to the energy and water use analysis. Specifically, NRDC questioned how DOE derived the hot water ratio used in the energy and water use and why the hot water ratio was not consistent throughout the U.S. NRDC further inquired if the end use temperature of 108 [degrees] F was consistent throughout the analysis. (NRDC, Public Meeting Transcript, No. 23 at pp. 61-63)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 water ratio used in the CPSV NOPR and the final rule energy and water use analysis(see chapter 7 of the final rule TSD) calculates the proportion of hot water from the water heater that mixes with the incoming cold water from the local mains water at the commercial prerinse spray valve to deliver water at 108 [degrees] F. The cold water is derived regionally for each census division and building type where commercial prerinse spray valves are installed. The hot water ratio is not consistent throughout the United States because the mains water temperature is not consistent throughout the United States. As noted previously, end use temperature was calculated using data from the average end use temperature from CPSV field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in response to the CPSV NOPR related to the water pressure used in the energy and water use analysis. AWE commented that the representative range of water pressures in commercial kitchens should be determined in order to determine a reasonable range of both flow rate and spray force to be maintained by the valves. (AWE, No. 28 at p. 5) ASAP was concerned that not testing at different water pressures could affect the definition of the product classes, and make it difficult to ensure customer satisfaction. (ASAP, No. 23 at p. 27) AWE commented that spray force is largely dependent upon water pressure, and that the supplied water pressure can vary by at least 70 psi between different service areas. AWE stated that this can cause models to be classified differently in varying locales, and is not addressed in the proposal. (AWE, No. 28 at p. 3) AWE further stated that mandatory requirements demand a higher level of scrutiny, and recommended that DOE postpone the rulemaking until further research data is available on how water pressure affects performance in real life settings. (AWE, No. 28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establishing spray force requirements in this final rule; instead, spray force is used only to define the boundaries between product classes. DOE understands that the measured flow rate of commercial prerinse spray valves will vary as a function of water pressure. In evaluating the representative water pressure used in the CPSV test procedure, DOE performed a sensitivity analysis to determine typical water pressure values and their impact on measured flow rate, titled "Analysis of Water Pressure for Testing Commercial Prerinse Spray Valves Final Report." n28 DOE concluded, as part of this analysis, that the representative water pressure for evaluating the energy and water use of commercial prerinse spray valves was 60 psi.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water pressure sensitivity analysis is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EERE-2014-BT-TP-0055.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provides details and the results of DOE's energy use analysis for commercial prerinse spray valves.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LCC and PBP analysis to evaluate the economic impacts on individual consumers of the amended energy conservation standards for commercial prerinse spray valves. The LCC is the total consumer expense over the life of the product, consisting of purchase and installation costs plus operating costs (expenses for energy and water use, maintenance, and repair). To compute the operating costs, DOE discounts future operating costs to the time of purchase and sums them over the lifetime of the product. The PBP is the estimated amount of time (in years) it takes consumers to recover the potential increased purchase cost (including installation) of more efficient products through lower operating costs. DOE calculates the PBP by dividing the change in purchase cost at higher efficiency levels by the change in annual operating cost for the first year the amended standards are in effect (2019).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As compliance with the amended standards will be required at the very end of 2018, DOE used 2019 as the first year in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an estimate of the no-new-standards case product efficiency distribution. The no-new-standards case estimate reflects the market in the absence of amended energy conservation standards, including the market for products that exceed the current energy conservation standard.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Inputs to the calculation of total installed cost include the cost of the product--which includes MSPs, distribution channel markups, and sales taxes--and installation costs. Inputs to the calculation of operating expenses include annual energy and water consumption, energy prices and price projections, combined water prices (which include water and wastewater prices) and price projections, repair and maintenance costs, product lifetimes, and discount rates. DOE created </w:t>
      </w:r>
      <w:r>
        <w:rPr>
          <w:rFonts w:ascii="arial" w:eastAsia="arial" w:hAnsi="arial" w:cs="arial"/>
          <w:b/>
          <w:i w:val="0"/>
          <w:strike w:val="0"/>
          <w:noProof w:val="0"/>
          <w:color w:val="000000"/>
          <w:position w:val="0"/>
          <w:sz w:val="20"/>
          <w:u w:val="none"/>
          <w:vertAlign w:val="baseline"/>
        </w:rPr>
        <w:t> [*4767] </w:t>
      </w:r>
      <w:r>
        <w:rPr>
          <w:rFonts w:ascii="arial" w:eastAsia="arial" w:hAnsi="arial" w:cs="arial"/>
          <w:b w:val="0"/>
          <w:i w:val="0"/>
          <w:strike w:val="0"/>
          <w:noProof w:val="0"/>
          <w:color w:val="000000"/>
          <w:position w:val="0"/>
          <w:sz w:val="20"/>
          <w:u w:val="none"/>
          <w:vertAlign w:val="baseline"/>
        </w:rPr>
        <w:t xml:space="preserve"> distributions of values for product lifetime, discount rates, energy and combined water prices,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used to calculate the LCC and PBP, which incorporates Crystal Ball&lt;TM&gt; (a commercially available software program), relies on a Monte Carlo simulation to incorporate uncertainty and variability into the analysis. The Monte Carlo simulations randomly sample input values from the probability distributions and CPSV user samples. The model calculated the LCC and PBP for products at each efficiency level for 10,000 CPSV users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as if each were to purchase a new commercial prerinse spray valve in 2019, the first year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 summarizes the approach and data DOE used to derive inputs to the LCC and PBP calculations. The subsections that follow provide further discussion. Details of the spreadsheet model, and of all the inputs to the LCC and PBP analyses, are contained in chapter 8 and its appendices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IV.4--Summary of Inputs and Methods for the LCC and PBP Analysis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MSPs by distribution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 markups and sales tax, as appropriate.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 data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U.S. Department of Labor. Assumed no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with efficiency level.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and Water Use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from the energy required to heat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 of water used at the prerinse spray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valve multiplied by the average annual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time and flow rate of each product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Variability: By census region.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Water and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Based on EIA's Form 826 data for 2014.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Wastewater Prices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By State. Water: Based on 2012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AWWA Survey. Variability: By State.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and Water Price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Forecasted using AEO2015 price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forecasts. Water: Forecasted using Bureau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Statistics (BLS) historic water price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 information.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and Repair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assumed an average lifetime of 5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Characterized using modified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Weibull probability distributions.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using the average cost of capital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prerinse spray valve consumers.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capital was found using information from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reserve and from Damodaran online data.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of Analysis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57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MSPs developed from the engineering analysis by the distribution channel markups described in section IV.D (along with sales taxes). DOE used baseline markups, but did not apply incremental markups, because the engineering analysis indicated that there is no price increase with improvements in efficiency for commercial prerinse spray valves. Product costs are assumed to remain constant over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used data from the U.S. Department of Labor to estimate the baseline installation cost for commercial prerinse spray valves. n30 DOE found no evidence and received no comments in the NOPR stage of this rulemaking that indicate installation costs will be impacted with increased efficiency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 Department of Labor--Wage and Hour Division. </w:t>
      </w:r>
      <w:r>
        <w:rPr>
          <w:rFonts w:ascii="arial" w:eastAsia="arial" w:hAnsi="arial" w:cs="arial"/>
          <w:b w:val="0"/>
          <w:i/>
          <w:strike w:val="0"/>
          <w:noProof w:val="0"/>
          <w:color w:val="000000"/>
          <w:position w:val="0"/>
          <w:sz w:val="20"/>
          <w:u w:val="none"/>
          <w:vertAlign w:val="baseline"/>
        </w:rPr>
        <w:t xml:space="preserve">Minimum Wage. </w:t>
      </w:r>
      <w:hyperlink r:id="rId38" w:history="1">
        <w:r>
          <w:rPr>
            <w:rFonts w:ascii="arial" w:eastAsia="arial" w:hAnsi="arial" w:cs="arial"/>
            <w:b w:val="0"/>
            <w:i/>
            <w:strike w:val="0"/>
            <w:noProof w:val="0"/>
            <w:color w:val="0077CC"/>
            <w:position w:val="0"/>
            <w:sz w:val="20"/>
            <w:u w:val="single"/>
            <w:vertAlign w:val="baseline"/>
          </w:rPr>
          <w:t>http://www.dol.gov/whd/minimumwage.htm</w:t>
        </w:r>
      </w:hyperlink>
      <w:r>
        <w:rPr>
          <w:rFonts w:ascii="arial" w:eastAsia="arial" w:hAnsi="arial" w:cs="arial"/>
          <w:b w:val="0"/>
          <w:i w:val="0"/>
          <w:strike w:val="0"/>
          <w:noProof w:val="0"/>
          <w:color w:val="000000"/>
          <w:position w:val="0"/>
          <w:sz w:val="20"/>
          <w:u w:val="none"/>
          <w:vertAlign w:val="baseline"/>
        </w:rPr>
        <w:t>.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and Water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final rule TSD details DOE's analysis of CPSV annual energy and water use at various efficiency levels. For each sampled building type, DOE determined the energy and water consumption for a commercial prerinse spray valve at different efficiency levels using the approach described in section IV.E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derived energy prices from the EIA regional average energy price data for the commercial sectors. DOE used projections of these energy prices for commercial consumers to estimate future energy prices in the LCC and PBP analysis.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was used as the default source of projections for future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estimates of commercial electricity and natural gas prices for each state and the District of Columbia (DC). DOE derived average regional energy prices from data that are published annually based on EIA Form 826. n31 DOE then used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price projections to estimate commercial electricity and natural gas prices in future years.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price projections have an end year of 2040. To estimate price trends after 2040, DOE used the average annual rate of change in prices from 2030 to 2040. DOE assumed that 100 percent of installations were in commercial locations.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U.S. Department of Energy--Energy Information Administration. </w:t>
      </w:r>
      <w:r>
        <w:rPr>
          <w:rFonts w:ascii="arial" w:eastAsia="arial" w:hAnsi="arial" w:cs="arial"/>
          <w:b w:val="0"/>
          <w:i/>
          <w:strike w:val="0"/>
          <w:noProof w:val="0"/>
          <w:color w:val="000000"/>
          <w:position w:val="0"/>
          <w:sz w:val="20"/>
          <w:u w:val="none"/>
          <w:vertAlign w:val="baseline"/>
        </w:rPr>
        <w:t>Form EIA-826 Database Monthly Electric Utility Sales and Revenue Data (EIA-826 Sales and Revenue Spreadsheets).</w:t>
      </w:r>
      <w:r>
        <w:rPr>
          <w:rFonts w:ascii="arial" w:eastAsia="arial" w:hAnsi="arial" w:cs="arial"/>
          <w:b w:val="0"/>
          <w:i w:val="0"/>
          <w:strike w:val="0"/>
          <w:noProof w:val="0"/>
          <w:color w:val="000000"/>
          <w:position w:val="0"/>
          <w:sz w:val="20"/>
          <w:u w:val="none"/>
          <w:vertAlign w:val="baseline"/>
        </w:rPr>
        <w:t xml:space="preserve"> 2015. </w:t>
      </w:r>
      <w:hyperlink r:id="rId39" w:history="1">
        <w:r>
          <w:rPr>
            <w:rFonts w:ascii="arial" w:eastAsia="arial" w:hAnsi="arial" w:cs="arial"/>
            <w:b w:val="0"/>
            <w:i/>
            <w:strike w:val="0"/>
            <w:noProof w:val="0"/>
            <w:color w:val="0077CC"/>
            <w:position w:val="0"/>
            <w:sz w:val="20"/>
            <w:u w:val="single"/>
            <w:vertAlign w:val="baseline"/>
          </w:rPr>
          <w:t>http://www.eia.gov/electricity/data/eia826/</w:t>
        </w:r>
      </w:hyperlink>
      <w:r>
        <w:rPr>
          <w:rFonts w:ascii="arial" w:eastAsia="arial" w:hAnsi="arial" w:cs="arial"/>
          <w:b w:val="0"/>
          <w:i w:val="0"/>
          <w:strike w:val="0"/>
          <w:noProof w:val="0"/>
          <w:color w:val="000000"/>
          <w:position w:val="0"/>
          <w:sz w:val="20"/>
          <w:u w:val="none"/>
          <w:vertAlign w:val="baseline"/>
        </w:rPr>
        <w:t>.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Water and Wastewater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obtained data on water and wastewater prices from the 2012 American Water Works Association (AWWA) surveys for this document. n32 For each state and the District of Columbia, DOE combined all individual utility observations within the state to develop one value for water and wastewater service. Because water and wastewater charges are frequently tied to the same metered commodity values, DOE combined the prices for water and wastewater into one total dollar per thousand gallons figure. This figure is </w:t>
      </w:r>
      <w:r>
        <w:rPr>
          <w:rFonts w:ascii="arial" w:eastAsia="arial" w:hAnsi="arial" w:cs="arial"/>
          <w:b/>
          <w:i w:val="0"/>
          <w:strike w:val="0"/>
          <w:noProof w:val="0"/>
          <w:color w:val="000000"/>
          <w:position w:val="0"/>
          <w:sz w:val="20"/>
          <w:u w:val="none"/>
          <w:vertAlign w:val="baseline"/>
        </w:rPr>
        <w:t> [*4768] </w:t>
      </w:r>
      <w:r>
        <w:rPr>
          <w:rFonts w:ascii="arial" w:eastAsia="arial" w:hAnsi="arial" w:cs="arial"/>
          <w:b w:val="0"/>
          <w:i w:val="0"/>
          <w:strike w:val="0"/>
          <w:noProof w:val="0"/>
          <w:color w:val="000000"/>
          <w:position w:val="0"/>
          <w:sz w:val="20"/>
          <w:u w:val="none"/>
          <w:vertAlign w:val="baseline"/>
        </w:rPr>
        <w:t xml:space="preserve"> referred to as the combined water price. DOE used the consumer price index (CPI) data for water related consumption (1970-2013) in developing a real growth rate for combined water price forecasts.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American Water Works Association. </w:t>
      </w:r>
      <w:r>
        <w:rPr>
          <w:rFonts w:ascii="arial" w:eastAsia="arial" w:hAnsi="arial" w:cs="arial"/>
          <w:b w:val="0"/>
          <w:i/>
          <w:strike w:val="0"/>
          <w:noProof w:val="0"/>
          <w:color w:val="000000"/>
          <w:position w:val="0"/>
          <w:sz w:val="20"/>
          <w:u w:val="none"/>
          <w:vertAlign w:val="baseline"/>
        </w:rPr>
        <w:t xml:space="preserve">AWWA 2012 Water and Wastewater Rate Survey. </w:t>
      </w:r>
      <w:hyperlink r:id="rId40" w:history="1">
        <w:r>
          <w:rPr>
            <w:rFonts w:ascii="arial" w:eastAsia="arial" w:hAnsi="arial" w:cs="arial"/>
            <w:b w:val="0"/>
            <w:i/>
            <w:strike w:val="0"/>
            <w:noProof w:val="0"/>
            <w:color w:val="0077CC"/>
            <w:position w:val="0"/>
            <w:sz w:val="20"/>
            <w:u w:val="single"/>
            <w:vertAlign w:val="baseline"/>
          </w:rPr>
          <w:t>http://www.awwa.org/resources-tools/water-and-wastewater-utility-management/water-wastewater-rates.aspx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U.S. Department of Labor--Bureau of Labor Statistics, </w:t>
      </w:r>
      <w:r>
        <w:rPr>
          <w:rFonts w:ascii="arial" w:eastAsia="arial" w:hAnsi="arial" w:cs="arial"/>
          <w:b w:val="0"/>
          <w:i/>
          <w:strike w:val="0"/>
          <w:noProof w:val="0"/>
          <w:color w:val="000000"/>
          <w:position w:val="0"/>
          <w:sz w:val="20"/>
          <w:u w:val="none"/>
          <w:vertAlign w:val="baseline"/>
        </w:rPr>
        <w:t>1970-2014 Tables 3A, 24.</w:t>
      </w:r>
      <w:r>
        <w:rPr>
          <w:rFonts w:ascii="arial" w:eastAsia="arial" w:hAnsi="arial" w:cs="arial"/>
          <w:b w:val="0"/>
          <w:i w:val="0"/>
          <w:strike w:val="0"/>
          <w:noProof w:val="0"/>
          <w:color w:val="000000"/>
          <w:position w:val="0"/>
          <w:sz w:val="20"/>
          <w:u w:val="none"/>
          <w:vertAlign w:val="baseline"/>
        </w:rPr>
        <w:t xml:space="preserve"> 2014. </w:t>
      </w:r>
      <w:hyperlink r:id="rId41" w:history="1">
        <w:r>
          <w:rPr>
            <w:rFonts w:ascii="arial" w:eastAsia="arial" w:hAnsi="arial" w:cs="arial"/>
            <w:b w:val="0"/>
            <w:i/>
            <w:strike w:val="0"/>
            <w:noProof w:val="0"/>
            <w:color w:val="0077CC"/>
            <w:position w:val="0"/>
            <w:sz w:val="20"/>
            <w:u w:val="single"/>
            <w:vertAlign w:val="baseline"/>
          </w:rPr>
          <w:t>http://www.bls.gov/cpi/cpid1401.pdf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8 of the final rule TSD provides more detail about DOE's approach to developing water and wastewater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product components that have failed in the product; maintenance costs are associated with maintaining the operation of the product. Typically, small incremental increases in product efficiency produce no, or only minor, changes in repair and maintenance costs compared to baseline 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rulemaking process, DOE has requested information as to whether maintenance and repair costs are a function of efficiency level and product class. DOE did not receive comments during the CPSV NOPR public meeting or comment period regarding these costs. Thus, consistent with the analysis conducted at the NOPR stage of this rulemaking, DOE assumed that consumers would replace the commercial prerinse spray valve upon failure rather than repairing the product. Additionally, DOE modeled no changes in maintenance or repair costs between different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product lifetime varies depending on utilization and other factors, DOE developed a distribution of product lifetimes. The use of a lifetime distribution helps account for the variability of product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considered--but did not implement--the use of factors such as usage, water temperature, and pressure as means of determining the distribution of lifetimes of commercial prerinse spray valves in the analysis for this document. DOE developed a Weibull distribution with an average lifetime of 5 years and a maximum lifetime of 10 years. In the CPSV NOPR analysis, DOE modified the Weibull distribution to reflect 10 percent of commercial prerinse spray valves failing within the first year after installation, and maintained that characteristic for the final rule analysis. See chapter 8 of the final rule TSD for further details on the method and sources DOE used to develop CPSV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developed discount rates by estimating the average cost of capital to commercial prerinse spray valve consumers. DOE applies discount rates to commercial consumers to estimate the present value of future cash flows derived from a project or investment. Most companies use both debt and equity capital to fund investments, so the cost of capital is the weighted-average cost to the firm of equity and debt financing. See chapter 8 in the final rule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will be affected by the amended energy conservation standard at a particular efficiency level, DOE's LCC and PBP analysis considered the projected distribution of product efficiencies that consumers purchase under the no-new-standards case. DOE refers to this distribution of product efficiencies as a no-new-standards case efficiency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no-new-standards case efficiency distribution of commercial prerinse spray valves in 2019 (the first year of the analysis period), DOE relied on data from the Food Service Technology Center and DOE's CCMS Database for commercial prerinse spray valves. n34 Additionally, DOE conducted general internet searches and examined manufacturer literature to understand the characteristics of the spray valves currently offered on the market. DOE assumed that the no-new-standards case percentages in 2019 would stay the same through the analysis period. The no-new-standards case efficiency distribution is described in chapter 8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Food Service Technology Center test data for prerinse spray valves is available at </w:t>
      </w:r>
      <w:hyperlink r:id="rId42" w:history="1">
        <w:r>
          <w:rPr>
            <w:rFonts w:ascii="arial" w:eastAsia="arial" w:hAnsi="arial" w:cs="arial"/>
            <w:b w:val="0"/>
            <w:i/>
            <w:strike w:val="0"/>
            <w:noProof w:val="0"/>
            <w:color w:val="0077CC"/>
            <w:position w:val="0"/>
            <w:sz w:val="20"/>
            <w:u w:val="single"/>
            <w:vertAlign w:val="baseline"/>
          </w:rPr>
          <w:t>www.fishnick.com/equipment/sprayvalves/</w:t>
        </w:r>
      </w:hyperlink>
      <w:r>
        <w:rPr>
          <w:rFonts w:ascii="arial" w:eastAsia="arial" w:hAnsi="arial" w:cs="arial"/>
          <w:b w:val="0"/>
          <w:i w:val="0"/>
          <w:strike w:val="0"/>
          <w:noProof w:val="0"/>
          <w:color w:val="000000"/>
          <w:position w:val="0"/>
          <w:sz w:val="20"/>
          <w:u w:val="none"/>
          <w:vertAlign w:val="baseline"/>
        </w:rPr>
        <w:t xml:space="preserve">. The DOE compliance certification data for commercial prerinse spray valves is available at </w:t>
      </w:r>
      <w:hyperlink r:id="rId34" w:history="1">
        <w:r>
          <w:rPr>
            <w:rFonts w:ascii="arial" w:eastAsia="arial" w:hAnsi="arial" w:cs="arial"/>
            <w:b w:val="0"/>
            <w:i/>
            <w:strike w:val="0"/>
            <w:noProof w:val="0"/>
            <w:color w:val="0077CC"/>
            <w:position w:val="0"/>
            <w:sz w:val="20"/>
            <w:u w:val="single"/>
            <w:vertAlign w:val="baseline"/>
          </w:rPr>
          <w:t>www.</w:t>
        </w:r>
      </w:hyperlink>
      <w:hyperlink r:id="rId34" w:history="1">
        <w:r>
          <w:rPr>
            <w:rFonts w:ascii="arial" w:eastAsia="arial" w:hAnsi="arial" w:cs="arial"/>
            <w:b/>
            <w:i/>
            <w:strike w:val="0"/>
            <w:noProof w:val="0"/>
            <w:color w:val="0077CC"/>
            <w:position w:val="0"/>
            <w:sz w:val="20"/>
            <w:u w:val="single"/>
            <w:vertAlign w:val="baseline"/>
          </w:rPr>
          <w:t>regulations</w:t>
        </w:r>
      </w:hyperlink>
      <w:hyperlink r:id="rId34" w:history="1">
        <w:r>
          <w:rPr>
            <w:rFonts w:ascii="arial" w:eastAsia="arial" w:hAnsi="arial" w:cs="arial"/>
            <w:b w:val="0"/>
            <w:i/>
            <w:strike w:val="0"/>
            <w:noProof w:val="0"/>
            <w:color w:val="0077CC"/>
            <w:position w:val="0"/>
            <w:sz w:val="20"/>
            <w:u w:val="single"/>
            <w:vertAlign w:val="baseline"/>
          </w:rPr>
          <w:t>.doe.gov/certification-data/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shares for the no-new-standards case efficiency distribution for commercial prerinse spray valves are shown in Table IV.5.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IV.5--Commercial Prerinse Spray Valve No-New-Standards Case Efficiency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by Product Class in 2019</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1</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2</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baseline products, through energy and water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 year annual operating expenditures relative to the baseline. The PBP calculation uses the same inputs as the LCC analysis, except that discount rates are not needed. As explained in the engineering analysis (section IV.C) there are no additional installed costs for more efficient commercial prerinse spray valves, making the PBPs in this analysis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Rebuttable-Presumption Payback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as amended, establishes a rebuttable presumption that a standard </w:t>
      </w:r>
      <w:r>
        <w:rPr>
          <w:rFonts w:ascii="arial" w:eastAsia="arial" w:hAnsi="arial" w:cs="arial"/>
          <w:b/>
          <w:i w:val="0"/>
          <w:strike w:val="0"/>
          <w:noProof w:val="0"/>
          <w:color w:val="000000"/>
          <w:position w:val="0"/>
          <w:sz w:val="20"/>
          <w:u w:val="none"/>
          <w:vertAlign w:val="baseline"/>
        </w:rPr>
        <w:t> [*4769] </w:t>
      </w:r>
      <w:r>
        <w:rPr>
          <w:rFonts w:ascii="arial" w:eastAsia="arial" w:hAnsi="arial" w:cs="arial"/>
          <w:b w:val="0"/>
          <w:i w:val="0"/>
          <w:strike w:val="0"/>
          <w:noProof w:val="0"/>
          <w:color w:val="000000"/>
          <w:position w:val="0"/>
          <w:sz w:val="20"/>
          <w:u w:val="none"/>
          <w:vertAlign w:val="baseline"/>
        </w:rPr>
        <w:t xml:space="preserve"> is economically justified if DOE finds that the additional cost to the consumer of purchasing a product complying with an energy conservation standard level will be less than three times the value of the first year's energy (and, as applicable, water) savings resulting from the standard, as calculated under the test procedure in place for that standard. (</w:t>
      </w:r>
      <w:hyperlink r:id="rId8"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and water savings by calculating the quantity of those savings in accordance with the applicable DOE test procedure, and multiplying that amount by the average energy and combined water price forecast for the year in which compliance with the amended standard will be required. The results are summarized in section V.B.1.c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product shipments to calculate the national impacts of amended energy conservation standards on energy and water use, NPV, and future manufacturer cash flows. DOE develops shipment projections based on historic economic figures and an analysis of key market drivers for commercial prerinse spray valves. In DOE's shipments model, CPSV shipments are driven by both new construction and stock replacements. The shipments model takes an accounting approach, tracking market shares of each product class and the vintage of units in the existing stock. Stock accounting uses product shipments as inputs to estimate the age distribution of in-service product stocks for all years. The age distribution of in-service products is a key input to calculations of the NES, national water savings,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shipments analysis for this final rule, DOE gathered information pertaining to commercial prerinse spray valves for many building types besides restaurants from the Puget Sound Energy Program, EPA WaterSense Field Study, and other industry reports. n35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U.S. Environmental Protection Agency WaterSense. Pre-Rinse Spray Valve Field Study Report. March 2011. Washington DC. Available at: </w:t>
      </w:r>
      <w:hyperlink r:id="rId43" w:history="1">
        <w:r>
          <w:rPr>
            <w:rFonts w:ascii="arial" w:eastAsia="arial" w:hAnsi="arial" w:cs="arial"/>
            <w:b w:val="0"/>
            <w:i/>
            <w:strike w:val="0"/>
            <w:noProof w:val="0"/>
            <w:color w:val="0077CC"/>
            <w:position w:val="0"/>
            <w:sz w:val="20"/>
            <w:u w:val="single"/>
            <w:vertAlign w:val="baseline"/>
          </w:rPr>
          <w:t>http://www.epa.gov/watersense/partners/prsv_background.html#study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SBW Consulting, Inc. and Koeller and Company. Pre-Rinse Spray Valve Programs: How Are They Really Doing? December 2005. Seattle, WA. Available at: </w:t>
      </w:r>
      <w:hyperlink r:id="rId44" w:history="1">
        <w:r>
          <w:rPr>
            <w:rFonts w:ascii="arial" w:eastAsia="arial" w:hAnsi="arial" w:cs="arial"/>
            <w:b w:val="0"/>
            <w:i/>
            <w:strike w:val="0"/>
            <w:noProof w:val="0"/>
            <w:color w:val="0077CC"/>
            <w:position w:val="0"/>
            <w:sz w:val="20"/>
            <w:u w:val="single"/>
            <w:vertAlign w:val="baseline"/>
          </w:rPr>
          <w:t>http://www.allianceforwaterefficiency.org/Commercial_Food_Service_Introduction.aspx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CPSV NOPR analysis, DOE disaggregated total industry shipments into the three product classes. At the CPSV NOPR public meeting, T&amp;S Brass commented that more shipments should be allocated to product class 3, which was the "heavy duty" product class in the CPSV NOPR. (T&amp;S Brass, Public Meeting Transcript, No. 23 at p. 80) After considering the comment from T&amp;S Brass, and with further study into the CPSV market, DOE updated the allocation of total shipments by product class for the final rule, as shown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IV.6--NOPR vs. Final Rule Shipments Allocations by Product Class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1</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2</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3</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NOPR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based the retirement function (the time at which the product fails and is replaced) on the probability distribution for product lifetime that was developed in the LCC and PBP analysis. The shipments model assumes that no units are retired below a minimum product lifetime (one year of service) and that all units are retired before exceeding a maximum product lifetime (10 years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a roll-up scenario is most appropriate to establish the distribution of efficiencies in the first year of compliance with the amended standards. Under the "roll-up" scenario, DOE assumes: (1) Product efficiencies in the no-new-standards case that do not meet the standard level "roll-up" to meet the required standard levels for each standards case; and (2) product efficiencies above the standard level are not affected. The details of DOE's approach to forecast efficiency trends are described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of the market for commercial prerinse spray valves makes it possible that consumers may, under examined TSLs and product classes, opt to switch product classes to a commercial prerinse spray valve that consumes more water and energy than their current product. In particular, if current choices of product flow rate correspond to consumers' optimal choice under the current regulatory environment, it is probable that some consumers would switch from product class 1 to product class 2, and from product class 2 to product class 3, in response to amended standards, given the lack of restrictions on doing so. DOE implemented a mechanism in the shipments model to estimate such consumer choices. The economics resulting from product class switching may result in lower optimal efficiency levels and reduced estimates of water and energy savings, as compared to the case without class switching. A detailed description of DOE's method to model product class switching is contained in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Sensitivity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standard shipments scenario, DOE also developed two alternative shipments scenarios to help examine potential impacts in specific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alternative shipments scenario, introduced in the CPSV NODA, alters standards-case shipments for product class 3. </w:t>
      </w:r>
      <w:hyperlink r:id="rId20" w:history="1">
        <w:r>
          <w:rPr>
            <w:rFonts w:ascii="arial" w:eastAsia="arial" w:hAnsi="arial" w:cs="arial"/>
            <w:b w:val="0"/>
            <w:i/>
            <w:strike w:val="0"/>
            <w:noProof w:val="0"/>
            <w:color w:val="0077CC"/>
            <w:position w:val="0"/>
            <w:sz w:val="20"/>
            <w:u w:val="single"/>
            <w:vertAlign w:val="baseline"/>
          </w:rPr>
          <w:t>80 FR 72608.</w:t>
        </w:r>
      </w:hyperlink>
      <w:r>
        <w:rPr>
          <w:rFonts w:ascii="arial" w:eastAsia="arial" w:hAnsi="arial" w:cs="arial"/>
          <w:b w:val="0"/>
          <w:i w:val="0"/>
          <w:strike w:val="0"/>
          <w:noProof w:val="0"/>
          <w:color w:val="000000"/>
          <w:position w:val="0"/>
          <w:sz w:val="20"/>
          <w:u w:val="none"/>
          <w:vertAlign w:val="baseline"/>
        </w:rPr>
        <w:t xml:space="preserve"> In this shipments scenario, some consumers exit the CPSV market rather than comply with amended standards. Since the utility of single-orifice CPSV models may not be equivalent in some applications that previously used shower-type CPSV models, this alternative shipments scenario enables analysis of the case where, rather than accepting the decreased usability of a compliant CPSV model, consumers of shower-type units instead exit the CPSV market and purchase faucets that have a maximum flow rate of 2.2 gpm under the current Federal standard. Thus, shipments of compliant CPSV models are much lower under this scenario. With this scenario, DOE is able to account for the energy and water use of CPSV models that remain within the scope of this rule and also for the change in energy and water use for consumers that chose to exit the CPSV </w:t>
      </w:r>
      <w:r>
        <w:rPr>
          <w:rFonts w:ascii="arial" w:eastAsia="arial" w:hAnsi="arial" w:cs="arial"/>
          <w:b/>
          <w:i w:val="0"/>
          <w:strike w:val="0"/>
          <w:noProof w:val="0"/>
          <w:color w:val="000000"/>
          <w:position w:val="0"/>
          <w:sz w:val="20"/>
          <w:u w:val="none"/>
          <w:vertAlign w:val="baseline"/>
        </w:rPr>
        <w:t> [*4770] </w:t>
      </w:r>
      <w:r>
        <w:rPr>
          <w:rFonts w:ascii="arial" w:eastAsia="arial" w:hAnsi="arial" w:cs="arial"/>
          <w:b w:val="0"/>
          <w:i w:val="0"/>
          <w:strike w:val="0"/>
          <w:noProof w:val="0"/>
          <w:color w:val="000000"/>
          <w:position w:val="0"/>
          <w:sz w:val="20"/>
          <w:u w:val="none"/>
          <w:vertAlign w:val="baseline"/>
        </w:rPr>
        <w:t xml:space="preserve"> market, and instead purchase faucets, as a result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alternative shipments scenario modifies the no-new-standards case for product classes 1 and 2. In the case of the first two product classes, EL 1 represents the market minimum level, while EL 0 represents a baseline at the Federal standard level of 1.6 gpm, as described in section IV.C.3. Although DOE did not observe any models at the baseline, DOE recognizes that it is possible that some shipments could occur at this level. In order to better understand the implications of moving the standard from EL 0 to EL 1, for this sensitivity case, 1 percent of no-new-standards case shipments in each of the first two product classes are assumed to fall into EL 0. These shipments were originally located at EL 1 in the default shipments scenario. Although additional product-class switching would possibly occur as a result of standards impacting these consumers, somewhat reducing any incremental savings, it was not considered in this sensitivity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analyses undertaken with these alternative shipments scenarios are discussed in section V.A. Results of those analyses are provided in sections V.B.2 and V.B.3.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national water savings, and NPV of total consumer costs and savings that are expected to result from amended standards at specific efficiency levels. DOE calculates the NES, national water savings, and NPV based on projections of annual CPSV shipments, along with the annual energy and water consumption and total installed cost data from the energy and water use analysis, as well as the LCC and PBP analysis. DOE forecasted the energy and water savings, operating cost savings, product costs, and NPV of consumer benefits over the lifetime of commercial prerinse spray valves sold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amended standards by comparing a no-new-standards case with standards-case projections. The no-new-standards case characterizes energy and water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and water savings, and the national consumer costs and savings for each TSL. Chapter 10 of the final rule TSD describes the models and how to use them; interested parties can review DOE's analyses by changing various input quantities within the spreadsheet. The NIA spreadsheet model uses typical or weighted-average mean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projections of energy and combined water prices as described in section IV.F.4 and IV.F.5, as well as chapter 8 of the final rule TSD. As part of the NIA, DOE analyzed scenarios that used inputs from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available via the NIA analysis spreadsheet.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Year of Analysis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 Case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distributions are forecasted based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Forecasted Efficiencies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historical efficiency data.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 Forecasted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a "roll-up" scenario.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w:t>
            </w: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and Water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energy and water use at each TSL.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cost at each TSL.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forecast of future product prices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historical data.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and Combined</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Cost per Unit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 and water consumption per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 and energy, and combined water treatment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AEO2015 forecasts (to 2040) and extrapolation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2058.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Site-to-Source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yearly and is generated by NEMS-BT.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Factors</w:t>
            </w: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7 percent real.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Future expenses discounted to 2015, when the</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will be published.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Energy and Water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and water consumption of the considered products in each TSL with consumption in the no-new-standards case with no amended energy and water conservation standards. DOE calculated the national energy and water consumption by multiplying the number of units (stock) of each product (by vintage or age) by the unit energy and water consumption (also by vintage). DOE calculated annual NES and national water savings based on the difference in national energy and water consumption for the no-new-standards case and for each higher efficiency standard.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Cumulative energy and water savings are the sum of the NES and national water savings for each year over the timeframe of the analysis. DOE has historically presented NES in terms of primary energy savings. In the case of electricity use and savings, this quantity includes the energy consumed by power plants to generate delivered (site)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w:t>
      </w:r>
      <w:r>
        <w:rPr>
          <w:rFonts w:ascii="arial" w:eastAsia="arial" w:hAnsi="arial" w:cs="arial"/>
          <w:b/>
          <w:i w:val="0"/>
          <w:strike w:val="0"/>
          <w:noProof w:val="0"/>
          <w:color w:val="000000"/>
          <w:position w:val="0"/>
          <w:sz w:val="20"/>
          <w:u w:val="none"/>
          <w:vertAlign w:val="baseline"/>
        </w:rPr>
        <w:t> [*4771] </w:t>
      </w:r>
      <w:r>
        <w:rPr>
          <w:rFonts w:ascii="arial" w:eastAsia="arial" w:hAnsi="arial" w:cs="arial"/>
          <w:b w:val="0"/>
          <w:i w:val="0"/>
          <w:strike w:val="0"/>
          <w:noProof w:val="0"/>
          <w:color w:val="000000"/>
          <w:position w:val="0"/>
          <w:sz w:val="20"/>
          <w:u w:val="none"/>
          <w:vertAlign w:val="baseline"/>
        </w:rPr>
        <w:t xml:space="preserve"> Efficiency Standards" appointed by the National Academy of Sciences, DOE announced its intention to use FFC measures of energy use and GHG and other emissions in the NIAs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document, DOE published a statement of amended policy in which DOE explained its determination that EIA's NEMS is the most appropriate tool for its FFC analysis and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n37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For more information on NEMS, refer to the Energy Information Administration. </w:t>
      </w:r>
      <w:r>
        <w:rPr>
          <w:rFonts w:ascii="arial" w:eastAsia="arial" w:hAnsi="arial" w:cs="arial"/>
          <w:b w:val="0"/>
          <w:i/>
          <w:strike w:val="0"/>
          <w:noProof w:val="0"/>
          <w:color w:val="000000"/>
          <w:position w:val="0"/>
          <w:sz w:val="20"/>
          <w:u w:val="none"/>
          <w:vertAlign w:val="baseline"/>
        </w:rPr>
        <w:t>The National Energy Modeling System: An Overview 2009.</w:t>
      </w:r>
      <w:r>
        <w:rPr>
          <w:rFonts w:ascii="arial" w:eastAsia="arial" w:hAnsi="arial" w:cs="arial"/>
          <w:b w:val="0"/>
          <w:i w:val="0"/>
          <w:strike w:val="0"/>
          <w:noProof w:val="0"/>
          <w:color w:val="000000"/>
          <w:position w:val="0"/>
          <w:sz w:val="20"/>
          <w:u w:val="none"/>
          <w:vertAlign w:val="baseline"/>
        </w:rPr>
        <w:t xml:space="preserve"> October 2009. DOE/EIA-0581. </w:t>
      </w:r>
      <w:hyperlink r:id="rId45" w:history="1">
        <w:r>
          <w:rPr>
            <w:rFonts w:ascii="arial" w:eastAsia="arial" w:hAnsi="arial" w:cs="arial"/>
            <w:b w:val="0"/>
            <w:i/>
            <w:strike w:val="0"/>
            <w:noProof w:val="0"/>
            <w:color w:val="0077CC"/>
            <w:position w:val="0"/>
            <w:sz w:val="20"/>
            <w:u w:val="single"/>
            <w:vertAlign w:val="baseline"/>
          </w:rPr>
          <w:t>https://www.eia.gov/forecasts/aeo/nems/overview/pdf/0581</w:t>
        </w:r>
      </w:hyperlink>
      <w:r>
        <w:rPr>
          <w:rFonts w:ascii="arial" w:eastAsia="arial" w:hAnsi="arial" w:cs="arial"/>
          <w:b w:val="0"/>
          <w:i/>
          <w:strike w:val="0"/>
          <w:noProof w:val="0"/>
          <w:color w:val="000000"/>
          <w:position w:val="0"/>
          <w:sz w:val="20"/>
          <w:u w:val="none"/>
          <w:vertAlign w:val="baseline"/>
        </w:rPr>
        <w:t>(2009).pdf.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CPSV NOPR, ASAP asked if DOE considered the energy required to treat and transport the water used by commercial prerinse spray valves in its energy analysis. (ASAP, Public Meeting Transcript, No. 23 at pp. 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the important relationship between water and energy use. In June 2014, a DOE working group published a report on this relationship, which acknowledged the need for a more interconnected approach to energy and water use analysis. n38 The report also identified the need for data and an integrated water-energy analytical platform, which remains under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U.S. Department of Energy, </w:t>
      </w:r>
      <w:r>
        <w:rPr>
          <w:rFonts w:ascii="arial" w:eastAsia="arial" w:hAnsi="arial" w:cs="arial"/>
          <w:b w:val="0"/>
          <w:i/>
          <w:strike w:val="0"/>
          <w:noProof w:val="0"/>
          <w:color w:val="000000"/>
          <w:position w:val="0"/>
          <w:sz w:val="20"/>
          <w:u w:val="none"/>
          <w:vertAlign w:val="baseline"/>
        </w:rPr>
        <w:t>The Water-Energy Nexus: Challenges and Opportunities</w:t>
      </w:r>
      <w:r>
        <w:rPr>
          <w:rFonts w:ascii="arial" w:eastAsia="arial" w:hAnsi="arial" w:cs="arial"/>
          <w:b w:val="0"/>
          <w:i w:val="0"/>
          <w:strike w:val="0"/>
          <w:noProof w:val="0"/>
          <w:color w:val="000000"/>
          <w:position w:val="0"/>
          <w:sz w:val="20"/>
          <w:u w:val="none"/>
          <w:vertAlign w:val="baseline"/>
        </w:rPr>
        <w:t xml:space="preserve"> (June 2014) (Available at: </w:t>
      </w:r>
      <w:hyperlink r:id="rId46" w:history="1">
        <w:r>
          <w:rPr>
            <w:rFonts w:ascii="arial" w:eastAsia="arial" w:hAnsi="arial" w:cs="arial"/>
            <w:b w:val="0"/>
            <w:i/>
            <w:strike w:val="0"/>
            <w:noProof w:val="0"/>
            <w:color w:val="0077CC"/>
            <w:position w:val="0"/>
            <w:sz w:val="20"/>
            <w:u w:val="single"/>
            <w:vertAlign w:val="baseline"/>
          </w:rPr>
          <w:t>www.energy.gov/sites/prod/files/2014/06/f16/Water%20Energy%20Nexus%20Report%20June%202014.pdf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 The operating cost savings are energy and combined water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n39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Office of Management and Budget. Circular A-4: Regulatory Analysis," (Sept. 17, 2003), section E (Available at: </w:t>
      </w:r>
      <w:hyperlink r:id="rId47"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evaluated impacts on particular subgroups of consumers by analyzing the LCC impacts and PBP for those particular consumers from alternative standard levels. For this final rule, DOE analyzed the impacts of the considered standard levels on single entities and limited service establishment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higher the cost of capital and the lower the cost of energy and water, the more likely it is that an entity would be disproportionately affected by the requirement to purchase higher efficiency product. An example of a single entity would be a small, independent, or family-owned business that operates in a single location. Compared to large corporations and franchises, these single entities might be subjected to higher costs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subgroup DOE analyzed in the subgroup analysis is a limited service establishment. These consumers likely have significantly lower operating times than the average consumer. Lower operating times typically lead to lower operating cost savings over the lifetime of the product, making this subgroup of consumers disproportionately affected by amended efficiency standards. Chapter 11 of the final rule TSD describes the consumer subgroup analysis in greater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amended energy conservation standards on manufacturers of commercial prerinse spray valves and to estimate the potential impacts of such standards on employment and manufacturing capacity. The MIA has both quantitative and qualitative aspects and includes analyses of forecasted industry cash flows, the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elements of the MIA rely on the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the INPV, which is the sum of industry annual cash 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and domestic manufacturing employment between a no-new-standards case and the various TSLs. To capture the uncertainty relating to manufacturer pricing strategy following amended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impacts on manufacturer subgroups. The complete MIA is outlined in chapter 12 of the final rule TSD. </w:t>
      </w:r>
      <w:r>
        <w:rPr>
          <w:rFonts w:ascii="arial" w:eastAsia="arial" w:hAnsi="arial" w:cs="arial"/>
          <w:b/>
          <w:i w:val="0"/>
          <w:strike w:val="0"/>
          <w:noProof w:val="0"/>
          <w:color w:val="000000"/>
          <w:position w:val="0"/>
          <w:sz w:val="20"/>
          <w:u w:val="none"/>
          <w:vertAlign w:val="baseline"/>
        </w:rPr>
        <w:t> [*4772]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Phase 1 of the MIA, DOE prepared a profile of the CPSV manufacturing industry based on the market and technology assessment, information on the present and past market structure and characteristics of the industry, product attributes, product shipments, manufacturer markups, and the cost structure for various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profile also included an analysis of manufacturers in the industry using Security and Exchange Commission 10-K filings, Standard &amp; Poor's stock reports, and corporate annual reports released by publicly held companies. n40 DOE used this and other publicly available information to derive preliminary financial inputs for the GRIM, including an industry discount rate, manufacturer markup, cost of goods sold and depreciation, selling, general, and administrative (SG&amp;A) expenses, and R&amp;D expenses.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SEC Form 10-K filings are available at </w:t>
      </w:r>
      <w:hyperlink r:id="rId48" w:history="1">
        <w:r>
          <w:rPr>
            <w:rFonts w:ascii="arial" w:eastAsia="arial" w:hAnsi="arial" w:cs="arial"/>
            <w:b w:val="0"/>
            <w:i/>
            <w:strike w:val="0"/>
            <w:noProof w:val="0"/>
            <w:color w:val="0077CC"/>
            <w:position w:val="0"/>
            <w:sz w:val="20"/>
            <w:u w:val="single"/>
            <w:vertAlign w:val="baseline"/>
          </w:rPr>
          <w:t>www.sec.gov/edgar.shtml</w:t>
        </w:r>
      </w:hyperlink>
      <w:r>
        <w:rPr>
          <w:rFonts w:ascii="arial" w:eastAsia="arial" w:hAnsi="arial" w:cs="arial"/>
          <w:b w:val="0"/>
          <w:i w:val="0"/>
          <w:strike w:val="0"/>
          <w:noProof w:val="0"/>
          <w:color w:val="000000"/>
          <w:position w:val="0"/>
          <w:sz w:val="20"/>
          <w:u w:val="none"/>
          <w:vertAlign w:val="baseline"/>
        </w:rPr>
        <w:t xml:space="preserve">. Stock reports are available at </w:t>
      </w:r>
      <w:hyperlink r:id="rId49" w:history="1">
        <w:r>
          <w:rPr>
            <w:rFonts w:ascii="arial" w:eastAsia="arial" w:hAnsi="arial" w:cs="arial"/>
            <w:b w:val="0"/>
            <w:i/>
            <w:strike w:val="0"/>
            <w:noProof w:val="0"/>
            <w:color w:val="0077CC"/>
            <w:position w:val="0"/>
            <w:sz w:val="20"/>
            <w:u w:val="single"/>
            <w:vertAlign w:val="baseline"/>
          </w:rPr>
          <w:t>www.standardandpoors.com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the GRIM, an industry cash flow analysis, to quantify the impacts of potential amended energy conservation standards on the industry as a whole. In general, energy conservation standards can affect manufacturer cash flow in three distinct ways: (1) Create a need for increased investment, (2) raise production costs per unit, and (3) alter revenue due to higher per-unit prices and changes in sales volumes. DOE used the GRIM to model these effects in a cash flow analysis of the CPSV manufacturing industry. In performing this analysis, DOE used the financial parameters developed in Phase 1, the cost-efficiency curves from the engineering analysis, and the shipment assumptions from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DOE evaluated subgroups of manufacturers that may be disproportionately impacted by standards or that may not be accurately represented by the average cost assumptions used to develop the industry cash flow analysis. For example, small businesses, manufacturers of niche products, or companies exhibiting a cost structure that differs significantly from the industry average could be more negatively affected. While DOE did not identify any other subgroup of manufacturers of commercial prerinse spray valves that would warrant a separate analysis, DOE specifically investigated impacts on small business manufacturers. See sections V.B.2.d and VI.B of this document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the MIA also addresses the direct impact on employment tied to the manufacturing of commercial prerinse spray valves, as well as impacts on manufacturing capacity. Additionally, the MIA explores the cumulative regulatory burdens facing CPSV manufacturers. See section V.B.2.b of this document and chapter 12 of the final rule TSD for more information on the impacts of amended energy conservation standards for commercial prerinse spray valves on direct employment, manufacturing capacity, and cumulative regulatory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 that result in a higher or lower industry value due to energy conservation standards. The GRIM is a standard, discounted cash-flow model that incorporates manufacturer costs, markups, shipments, and industry financial information as inputs, and models changes in manufacturing costs, shipments, investments, and margins that may result from amended energy conservation standards. The GRIM uses these inputs to arrive at a series of annual cash flows, beginning with the base year of the analysis, 2015, and continuing through 2048. DOE uses the industry-average weighted average cost of capital (WACC) of 6.9 percent, as this represents the minimum rate of return necessary to cover the debt and equity obligations manufacturers use to finance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GRIM to compare INPV in the no-new-standards case with INPV at each TSL (the standards case). The difference in INPV between the no-new-standards and standards cases represents the financial impact of the amended standard on manufacturers. Additional details about the GRIM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GRIM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 are the costs to the manufacturer to produce a commercial prerinse spray valve. These costs include materials, labor, overhead, and depreciation. Changes in the MPCs of commercial prerinse spray valves can affect revenues, gross margins, and cash flow of the industry, making product cost data key inputs for DOE's analysis. DOE estimated the MPCs for the three CPSV product classes at the baseline and higher efficiency levels, as described in section IV.C.5 of this document. The cost model also disaggregated the MPCs into the cost of materials, labor, overhead, and depreciation. DOE used the MPCs and cost breakdowns, as described in chapter 5 of the final rule TSD, for each efficiency level analyzed in the GRIM.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No-New-Standards Case 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in each year of the forecast based in part on total unit shipments and the distribution of these values by efficiency level and product class. Generally, changes in the efficiency mix and total shipments at each standard level affect manufacturer finances. The GRIM uses the NIA shipments forecasts from 2015 through 2048,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shipments, DOE developed a shipments model for each product class based on an analysis of key market drivers for commercial prerinse spray valves. For greater detail on the shipments analysis, see section IV.G of this document and chapter 9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energy conservation standards may cause manufacturers to incur conversion costs to make necessary changes to their production facilities and bring product designs into compliance. For the MIA, DOE classified these costs into two major groups: (1) Product conversion costs and (2) capital conversion costs. Product conversion costs are investments in R&amp;D, testing, marketing, and other non-capitalized costs focused on making product designs comply with the amended energy conservation standard. Capital conversion costs are investments in property, plant, and equipment to adapt or change existing production facilities so that new product designs can be fabricated and assembled.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contacted manufacturers of commercial prerinse spray valves for the purpose of conducting interviews. However, no manufacturer agreed to participate in an interview. In the absence of information from manufacturers, DOE created estimates of industry capital and product conversion costs using the engineering cost model and information gained during product teardowns. DOE requested comments on the estimates of industry capital and product conversion costs provided in the CPSV NOPR. Since, no interested parties provided comments, DOE used the same methodology to estimate industry product and capital conversion costs in this final rule. DOE's estimates of the product and capital conversion </w:t>
      </w:r>
      <w:r>
        <w:rPr>
          <w:rFonts w:ascii="arial" w:eastAsia="arial" w:hAnsi="arial" w:cs="arial"/>
          <w:b/>
          <w:i w:val="0"/>
          <w:strike w:val="0"/>
          <w:noProof w:val="0"/>
          <w:color w:val="000000"/>
          <w:position w:val="0"/>
          <w:sz w:val="20"/>
          <w:u w:val="none"/>
          <w:vertAlign w:val="baseline"/>
        </w:rPr>
        <w:t> [*4773] </w:t>
      </w:r>
      <w:r>
        <w:rPr>
          <w:rFonts w:ascii="arial" w:eastAsia="arial" w:hAnsi="arial" w:cs="arial"/>
          <w:b w:val="0"/>
          <w:i w:val="0"/>
          <w:strike w:val="0"/>
          <w:noProof w:val="0"/>
          <w:color w:val="000000"/>
          <w:position w:val="0"/>
          <w:sz w:val="20"/>
          <w:u w:val="none"/>
          <w:vertAlign w:val="baseline"/>
        </w:rPr>
        <w:t xml:space="preserve"> costs for the CPSV manufacturing industry can be found in section V.B.2.a of this document and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GRIM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Standards Case Shipments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 results presented in section V.B.2 of this document use shipments from the NIA. For standards case shipments, DOE assumed that CPSV consumers would choose to buy the commercial prerinse spray valve that has the flow rate that is closest to the flow rate of the product they currently use and that complies with the new standard (and, accordingly, manufacturers would choose to produce products with the closest flow rate to those they currently produce). Due to the structure of the product classes and efficiency levels for this rule, in certain instances, product class switching is predicted to occur, wherein consumers choose to buy the product with the flow rate that is closest to their current product's flow rate even if it has a higher spray force (putting those products into a different product class). Where product class switching does not occur, no-new-standards case shipments of products that did not meet the new standard would roll up to meet the standard starting in the compliance year. See section IV.F.9 of this document for a description of the standards case efficiency distributions. See section IV.G of this document for further detail relating to the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also used historical data to derive a price scaling index to forecast product costs. The MPCs and MSPs in the GRIM use the default price forecast for all scenarios, which assumes constant pricing. See section IV.H of this document for a discussion of DOE's price forecasting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is equal to MPC times a manufacturer markup. The MSP includes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 depreciation,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baseline manufacturer markup of 1.30, developed during Phase 1 and subsequently revised, for all products when modeling the no-new-standards case in the GRIM. For the standards case in the GRIM, DOE modeled the preservation of gross margin as a percentage of revenues markup scenario markup scenario. For this scenario, DOE placed no premium on higher efficiency products. This is based on the assumption that efficiency is not the primary factor influencing purchasing decisions for CPSV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as a percentage of revenues markup scenario assumes that the baseline markup of 1.30 is maintained for all products in the standards case. This scenario corresponds with the assumption that manufacturers are able to pass additional production costs due to amended standards through to their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Conversion Cost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two capital conversion costs scenarios to estimate an upper and lower bound of industry profitability as a result of amended energy conservation standards for commercial prerinse spray valves. The assumption underlying both scenarios is that capital conversion costs associated with increasing the efficiency of commercial prerinse spray valves are exclusively related to the fabrication of plastic nozzles, as manufacturers would have to redesign nozzle molds to produce a nozzle with fewer or smaller spray holes. DOE does not believe there will be capital conversion costs associated with the in-house fabrication of metal nozzles. A more detailed discussion of capital conversion cost assumptions is provided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capital conversion cost scenario, representing the upper bound of industry profitability, assumes that the majority of CPSV manufacturers source components (including the nozzle) from component suppliers and simply assemble the commercial prerinse spray valves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Sourced Components Scenario). The second scenario, representing the lower bound of industry profitability, assumes that all of the CPSV manufacturers currently selling products with plastic spray nozzles fabricate these nozzles in-house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Fabricated Components Scenario). More detail regarding these capital conversion cost scenarios is provided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CPSV NOPR public meeting and in public comments submitted in response to the CPSV NOPR, manufacturers, trade organizations, and advocacy groups provided several comments on the potential impact of amended energy conservation standards on manufacturers. These comments are outlined in the following text. DOE notes that these comments helped to update the analysis reflected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CPSV NOPR, several stakeholders expressed concerns relating to the overlapping effects of the EPA's WaterSense program and the potential amended DOE energy conservation standards on CPSV manufacturers. AWE stated that any update to DOE test criteria will place an unreasonable burden on the manufacturers who participated in WaterSense. (AWE, No. 28 at p. 3) Any amendment to current DOE standards will require manufacturers to abandon current products and again invest the capital and time to meet criteria that is entirely different than the WaterSense criteria. (AWE, No. 28 at p. 7) Similarly, T&amp;S Brass commented that cumulative regulatory burden is a key issue for manufacturers, and that compliance with EPA's WaterSense required a significant financial investment in product redesigns. Two manufacturers chose to invest in developing, certifying, and promoting high efficiency products through WaterSense last year, and are now faced with a more stringent regulatory requirement and the associated costs of development and certification. (T&amp;S Brass, No. 33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Fisher also stated that compliance with WaterSense standards required Fisher to devote substantial resources to product development, testing, certification, updating literature, packaging, catalogs, Web sites, labeling, markings, marketing, and consumer education. Fisher believes DOE's proposed standards will require duplicative efforts and expenses and will jeopardize the WaterSense program. (Fisher, No. 30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PMI and NAFEM echoed these concerns. PMI stated that the proposed standards puts a strain its members, T&amp;S Brass and Fisher Manufacturing, who have recently invested capital in redesigning and reengineering their products to comply with the EPA WaterSense specification. (PMI, No. 27 at p. 1) Additionally, NAFEM believes that the collaborative process used to develop WaterSense would be wasted as a result of DOE's amended standards. (NAFEM, No. 31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acknowledges the existence of the voluntary WaterSense program and that three manufacturers, T&amp;S Brass, Fisher Manufacturing, and Chicago Faucets, are currently participating in the WaterSense program. At the time of the CPSV NOPR, DOE had proposed standard levels of 0.65 gpm, 0.97 gpm, and 1.24 gpm for light-, standard-, and heavy-duty product classes, respectively (since the CPSV NOPR, DOE updated </w:t>
      </w:r>
      <w:r>
        <w:rPr>
          <w:rFonts w:ascii="arial" w:eastAsia="arial" w:hAnsi="arial" w:cs="arial"/>
          <w:b/>
          <w:i w:val="0"/>
          <w:strike w:val="0"/>
          <w:noProof w:val="0"/>
          <w:color w:val="000000"/>
          <w:position w:val="0"/>
          <w:sz w:val="20"/>
          <w:u w:val="none"/>
          <w:vertAlign w:val="baseline"/>
        </w:rPr>
        <w:t> [*4774] </w:t>
      </w:r>
      <w:r>
        <w:rPr>
          <w:rFonts w:ascii="arial" w:eastAsia="arial" w:hAnsi="arial" w:cs="arial"/>
          <w:b w:val="0"/>
          <w:i w:val="0"/>
          <w:strike w:val="0"/>
          <w:noProof w:val="0"/>
          <w:color w:val="000000"/>
          <w:position w:val="0"/>
          <w:sz w:val="20"/>
          <w:u w:val="none"/>
          <w:vertAlign w:val="baseline"/>
        </w:rPr>
        <w:t xml:space="preserve"> the product class names from light-, standard-, and heavy-duty to product class 1, 2, and 3). DOE has updated its proposal for this final rule to standard levels of 1.00 gpm and 1.20 gpm for product class 1 and product class 2, and at the WaterSense level (1.28 gpm) for product class 3. All products certified to WaterSense currently meet the standard levels described in this final rule. Therefore, DOE expects the cumulative regulatory burdens due to the amended energy conservation standards, relative to the WaterSense program, to be limited. DOE investigates cumulative regulatory burden impacts associated with this rulemaking in more detail in section V.B.2.e of this document, and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Chicago Faucets stated that current commercial prerinse spray valves are rated for 1.00 or 1.25 gpm, and that the new proposed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proposed in the CPSV NOPR; 0.65 gpm, 0.97 gpm and 1.24 gpm for light-, standard-, and heavy-duty product classes, respectively) will require spray valves to be retested and recertified at great expense to manufacturers. (Chicago Faucets, No. 26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classifies retesting and recertification costs as product conversion costs. For the CPSV NOPR, DOE used the engineering analysis as a basis for estimating total conversion costs that are expected to be incurred by the industry at each efficiency level. DOE requested comment and additional information relating to industry product and capital conversion cost estimates. DOE did not receive any comment and therefore continues to use the same methodology for estimating conversion costs in this final rule. More information on conversion costs can be found in section V.B.2 of this document and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relating to DOE's CPSV NOPR finding that the average small manufacturer would likely have to reinvest between 81 and 120 percent of operating profit per year over the conversion period to comply with proposed amended energy conservation standards, T&amp;S Brass commented that since eight of 11 CPSV manufacturers are small businesses, and concentrated in commercial prerinse spray valves and related products, amended standards would be a major financial strain on the majority of the industry. (T&amp;S Brass, No. 33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small businesses manufacturers may be disproportionately impacted by energy conservation standards relative to larger, more diversified manufacturers. In this document, DOE provides an updated analysis of disproportionate impacts, based on the revised engineering analysis and standard levels. The impacts of amended energy conservation standards on small business manufacturers are detailed in section VI.B of this document and in chapter 12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amended energy conservation standards on power sector and site (where applicable) combustion emissions of CO[2], NO[X], SO[2], and Hg. The second component estimates the impacts of amended standards on emissions of two additional GHGs,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calculated using a methodology based on results published for 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reference case and a set of side cases that implement a variety of efficiency-related policies. The methodology is described in chapter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n41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Available at: </w:t>
      </w:r>
      <w:hyperlink r:id="rId50"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n42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projections incorporate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w:t>
      </w:r>
      <w:hyperlink r:id="rId51"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the District of Columbia were also limited under the Clean Air Interstate Rule (CAIR). </w:t>
      </w:r>
      <w:hyperlink r:id="rId52"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n43 In 2011, EPA issued a replacement for CAIR, the Cross-State Air Pollution Rule (CSAPR). </w:t>
      </w:r>
      <w:hyperlink r:id="rId53"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n44 and the court ordered EPA to continue administering CAIR. On April 29, 2014, the U.S. Supreme Court reversed the judgment of the D.C. Circuit and remanded the case for further proceedings consistent with the Supreme Court's opinion. n45 On October 23, 2014, the D.C. Circuit lifted the stay of CSAPR. n46 Pursuant to this </w:t>
      </w:r>
      <w:r>
        <w:rPr>
          <w:rFonts w:ascii="arial" w:eastAsia="arial" w:hAnsi="arial" w:cs="arial"/>
          <w:b/>
          <w:i w:val="0"/>
          <w:strike w:val="0"/>
          <w:noProof w:val="0"/>
          <w:color w:val="000000"/>
          <w:position w:val="0"/>
          <w:sz w:val="20"/>
          <w:u w:val="none"/>
          <w:vertAlign w:val="baseline"/>
        </w:rPr>
        <w:t> [*4775] </w:t>
      </w:r>
      <w:r>
        <w:rPr>
          <w:rFonts w:ascii="arial" w:eastAsia="arial" w:hAnsi="arial" w:cs="arial"/>
          <w:b w:val="0"/>
          <w:i w:val="0"/>
          <w:strike w:val="0"/>
          <w:noProof w:val="0"/>
          <w:color w:val="000000"/>
          <w:position w:val="0"/>
          <w:sz w:val="20"/>
          <w:u w:val="none"/>
          <w:vertAlign w:val="baseline"/>
        </w:rPr>
        <w:t xml:space="preserve">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See </w:t>
      </w:r>
      <w:hyperlink r:id="rId54"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See </w:t>
      </w:r>
      <w:hyperlink r:id="rId56"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8"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will be needed or used to permit offsetting increases in SO[2] emissions by any regulated EGU. n47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n48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are expected to reduce NO[X] emissions in the States not affected by the caps, so DOE estimated NO[X] emissions reductions from the standards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therefore,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5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appendix 14A and 14B of the TSD, as are the major assumptions. The 2010 SCC values have been used in a number of Federal rulemakings upon which the public had opportunity to comment. In November 2013, the OMB announced a new opportunity for public comment on the TSD underlying the revised SCC estimates. See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w:t>
      </w:r>
      <w:r>
        <w:rPr>
          <w:rFonts w:ascii="arial" w:eastAsia="arial" w:hAnsi="arial" w:cs="arial"/>
          <w:b/>
          <w:i w:val="0"/>
          <w:strike w:val="0"/>
          <w:noProof w:val="0"/>
          <w:color w:val="000000"/>
          <w:position w:val="0"/>
          <w:sz w:val="20"/>
          <w:u w:val="none"/>
          <w:vertAlign w:val="baseline"/>
        </w:rPr>
        <w:t> [*4776] </w:t>
      </w:r>
      <w:r>
        <w:rPr>
          <w:rFonts w:ascii="arial" w:eastAsia="arial" w:hAnsi="arial" w:cs="arial"/>
          <w:b w:val="0"/>
          <w:i w:val="0"/>
          <w:strike w:val="0"/>
          <w:noProof w:val="0"/>
          <w:color w:val="000000"/>
          <w:position w:val="0"/>
          <w:sz w:val="20"/>
          <w:u w:val="none"/>
          <w:vertAlign w:val="baseline"/>
        </w:rPr>
        <w:t xml:space="preserve"> received. n49 In the response, the interagency working group continued to recommend the use of the SCC estimates as they represent the best scientific information on the impacts of climate change in a form appropriate for incorporating the damages from incremental CO[2] emissions changes into regulatory analyses. n50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Available at </w:t>
      </w:r>
      <w:hyperlink r:id="rId60"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Interagency Working Group on Social Cost of Carbon, U.S. Government, </w:t>
      </w:r>
      <w:r>
        <w:rPr>
          <w:rFonts w:ascii="arial" w:eastAsia="arial" w:hAnsi="arial" w:cs="arial"/>
          <w:b w:val="0"/>
          <w:i/>
          <w:strike w:val="0"/>
          <w:noProof w:val="0"/>
          <w:color w:val="000000"/>
          <w:position w:val="0"/>
          <w:sz w:val="20"/>
          <w:u w:val="none"/>
          <w:vertAlign w:val="baseline"/>
        </w:rPr>
        <w:t>Response to Comments: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at 5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n51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will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CO[2]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Specifically, the group considered public comments and further explored the technical literature in relevant fields. The interagency group relied on three integrated assessment models commonly used to estimate the SCC--the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in modeling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n52 although preference is given to consideration of the global benefits of reducing CO[2] emissions. Table IV.8 presents the values in the 2010 interagency group report, n53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U.S. Government (February 2010) (Available at: </w:t>
      </w:r>
      <w:hyperlink r:id="rId61"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9"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IV.9 shows the updated sets of SCC estimates from the 2013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IV.9--Annual SCC Values From 2013 Interagency Report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2009 National Research Council report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DOE has estimated how the considered energy </w:t>
      </w:r>
      <w:r>
        <w:rPr>
          <w:rFonts w:ascii="arial" w:eastAsia="arial" w:hAnsi="arial" w:cs="arial"/>
          <w:b/>
          <w:i w:val="0"/>
          <w:strike w:val="0"/>
          <w:noProof w:val="0"/>
          <w:color w:val="000000"/>
          <w:position w:val="0"/>
          <w:sz w:val="20"/>
          <w:u w:val="none"/>
          <w:vertAlign w:val="baseline"/>
        </w:rPr>
        <w:t> [*4778] </w:t>
      </w:r>
      <w:r>
        <w:rPr>
          <w:rFonts w:ascii="arial" w:eastAsia="arial" w:hAnsi="arial" w:cs="arial"/>
          <w:b w:val="0"/>
          <w:i w:val="0"/>
          <w:strike w:val="0"/>
          <w:noProof w:val="0"/>
          <w:color w:val="000000"/>
          <w:position w:val="0"/>
          <w:sz w:val="20"/>
          <w:u w:val="none"/>
          <w:vertAlign w:val="baseline"/>
        </w:rPr>
        <w:t xml:space="preserve">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n55 which are presented in chapter 14 of the final rule TSD. DOE assigned values for 2021-2024 and 2026-2029 using, respectively, the values for 2020 and 2025. DOE assigned values after 2030 using the value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For the monetized NO[X] benefits associated with PM[2.5], the related benefits (derived from benefit-per-ton values) are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so using the higher value would also be justified. If the benefit-per-ton estimates were based on the Six Cities study (Lepuele et al., 2012), the values would be nearly two-and-a-half times larger. (See chapter 14 of the final rule TSD for further description of the studies mentioned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for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CPSV NOPR, DOE received two comments regarding the use of SCC. In a comment submitted by the U.S. Chamber of Commerce along with the American Chemistry Council, the American Coke and Coal Chemicals Institute, the American Forest &amp; Paper Association, the American Fuel &amp; Petrochemical Manufacturers, the American Petroleum Institute, the Brick Industry Association, the Council of Industrial Boiler Owners, the National Association of Manufacturers, the National Mining Association, the National Oilseed Processors Association, and the Portland Cement Association (collectively, "the Associations"), the commenters objected to DOE's continued use of SCC in the cost-benefit analysis and stated their belief that SCC should be withdrawn as a basis for the rule. The Associations further stated that the SCC calculation should not be used in any rulemaking or policymaking until it undergoes a more rigorous notice, review, and comment process. (The Associations, No. 29, at p. 4) DOE also received a comment from a group consisting of the Environmental Defense Fund, Institute for Policy Integrity at New York University School of Law, Natural Resources Defense Council, and Union of Concerned Scientists (collectively, "Joint Commenters") that supported DOE's current use of the Interagency Working Group's SCC estimate. The Joint Commenters further indicated that DOE should also include a qualitative assessment of all significant climate effects that are not currently quantified in the monetized estimate. (Joint Commenters, No. 21, at p.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appreciates the comments and acknowledges the many uncertainties involved with monetizing the social benefits of reducing CO[2] emissions. However, DOE reiterates that the use of the SCC estimates, as recommended by the working group, represent the best scientific information on the impacts of climate change in a form appropriate for incorporating into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AEO2015.</w:t>
      </w:r>
      <w:r>
        <w:rPr>
          <w:rFonts w:ascii="arial" w:eastAsia="arial" w:hAnsi="arial" w:cs="arial"/>
          <w:b w:val="0"/>
          <w:i w:val="0"/>
          <w:strike w:val="0"/>
          <w:noProof w:val="0"/>
          <w:color w:val="000000"/>
          <w:position w:val="0"/>
          <w:sz w:val="20"/>
          <w:u w:val="none"/>
          <w:vertAlign w:val="baseline"/>
        </w:rPr>
        <w:t xml:space="preserve"> NEMS produced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15 of the final rule TSD describes the utility impact analysis in further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the direct employment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Labor Statistics (BLS). n56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n57 There are many reasons for these differences, including wage differences and the fact that the utility sector is more capital-intensive and less labor-intensive than other sectors. Energy conservation standards have the effect of reducing consumer utility bills. </w:t>
      </w:r>
      <w:r>
        <w:rPr>
          <w:rFonts w:ascii="arial" w:eastAsia="arial" w:hAnsi="arial" w:cs="arial"/>
          <w:b/>
          <w:i w:val="0"/>
          <w:strike w:val="0"/>
          <w:noProof w:val="0"/>
          <w:color w:val="000000"/>
          <w:position w:val="0"/>
          <w:sz w:val="20"/>
          <w:u w:val="none"/>
          <w:vertAlign w:val="baseline"/>
        </w:rPr>
        <w:t> [*4779] </w:t>
      </w:r>
      <w:r>
        <w:rPr>
          <w:rFonts w:ascii="arial" w:eastAsia="arial" w:hAnsi="arial" w:cs="arial"/>
          <w:b w:val="0"/>
          <w:i w:val="0"/>
          <w:strike w:val="0"/>
          <w:noProof w:val="0"/>
          <w:color w:val="000000"/>
          <w:position w:val="0"/>
          <w:sz w:val="20"/>
          <w:u w:val="none"/>
          <w:vertAlign w:val="baseline"/>
        </w:rPr>
        <w:t xml:space="preserve">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amended standards for commercial prerinse spray valves.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2"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4.0 (ImSET). n58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Livingston OV, SR Bender, MJ Scott, and RW Schultz. 2015. ImSET 4.0: Impact of Sector Energy Technologies Model Description and User's Guide. PNNL-24563, Pacific Northwest National Laboratory, Richland, WA.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commercial prerinse spray valves. It addresses the TSLs examined by DOE, the projected impacts of each of these levels if adopted as energy conservation standards for commercial prerinse spray valves, and the standards levels that DOE is adopting in this final rule. Additional details regarding DOE's analyses are contained in the final rule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commercial prerinse spray valves. These TSLs were developed by combining specific efficiency levels for each of the product classes analyzed by DOE. DOE also analyzed two additional TSLs that utilized the alternative shipments scenarios discussed in section IV.G.1. DOE presents the results for each of the TSLs in this document, while the engineering analysis results for all efficiency levels that DOE analyzed are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 presents the TSLs and the corresponding efficiency levels for commercial prerinse spray valves. These TSLs were chosen based on the following criteria:</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1 represents the first EL above the market minimum for each product class. That is, for product classes 1 and 2, TSL 1 represents EL 2 which is a 15 percent increase in efficiency above the market minimum. For product class 3, TSL 1 represents EL 1 which is a 10 percent increase in efficiency above the market minimum.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2 represents the second EL above market minimum for each product class. That is, for product classes 1 and 2, TSL 2 represents EL 3 which is a 25 percent increase in efficiency above the market minimum. For product class 3, TSL 3 represents the WaterSense level, or 20 percent increase in efficiency above the market minimum.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3 represents the minimum flow rates for each product class that: (1) Would not induce consumers to switch product classes as a result of a standard at those flow rates (as discussed in the CPSV NOPR); and (2) retains shower-type designs.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3a is a sensitivity-case variant of TSL 3, utilizing the second alternative shipments scenario described in section IV.G.1. This shipments scenario permits examination of the potential for additional savings if one percent of the shipments are assumed to fall into EL 0, rather than at EL 1, in the no-new-standards case for product classes 1 and 2. NIA results were generated for this case.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4 represents max-tech for all product classes under the default shipments scenario, which assumes the total volume of shipments does not change as a function of the standard level selected. Consumers in product classes 1 and 2 would purchase a compliant CPSV model with flow rates most similar to the flow rate they would purchase in the absence of a standard. This TSL assumes that purchasers of shower-type commercial prerinse spray valves would transition to single-orifice CPSV models.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TSL 4a represents a sensitivity-case max-tech for all product classes under an alternative shipments scenario, as described in section IV.G.1. Since the utility of single-orifice CPSV models may not be equivalent to shower-type CPSV models for some applications, this alternative shipments scenario assumes consumers of shower-type units exit the CPSV market and purchase faucets, which have a maximum flow rate of 2.2 gpm under the current Federal standard. Thus, shipments of compliant CPSV models are much lower under this TSL and water consumption is higher due to increased faucet shipments. Both MIA and NIA results were developed for this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Commercial Prerinse Spray Valves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3</w:t>
            </w: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scenario</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commercial prerinse spray valve consumers by looking at the effects the amended standards at each TSL would have on the LCC and PBP analysis. DOE also examined the impacts of amended standards on consumer subgroups. These analyses are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net economic impact of the amended energy conservation standards on consumers of commercial prerinse spray valves, DOE conducted an LCC and PBP analysis for each TSL. In general, higher-efficiency products affect consumers in two ways: (1) Purchase price increases; and (2) annual operating cost decreases. Because DOE did not find that the purchase price of commercial prerinse spray valves increased with increasing efficiency, the only effect of higher-efficiency products to consumers is decreased operating costs. Inputs used for calculating the LCC and PBP include: (1)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(2)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V.7 show the LCC and PBP results for the TSLs considered for each product class. In the first of each pair of tables, the simple PBP is measured relative to the baseline product. In the second of each pair of tables, the LCC savings are measured relative to the average LCC in the no-new-standards case in the compliance year (see section IV.F.10 of this document). No impacts occur when the no-new-standards case efficiency for a specific consumer equals or exceeds the efficiency at a given TSL. In this situation, a standard would have no effect because the product installed would be at or above that standard level without amended standards. For commercial prerinse spray valves, DOE determined that there was no increase in purchase price with increasing EL within each product class. Therefore, LCC and PBP results instead reflect differences in operating costs due to decreased energy and water use for each 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for</w:t>
            </w:r>
          </w:p>
        </w:tc>
      </w:tr>
      <w:tr>
        <w:tblPrEx>
          <w:tblW w:w="0" w:type="auto"/>
          <w:jc w:val="center"/>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1 (&lt;/=5.0 ozf) Commercial Prerinse Spray Valves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Product Class 1 (&lt;/= 5.0 ozf) Commercial</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Prerinse Spray Valves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The calculation includes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TSL 3, the average LCC impact is a savings of $ 0 for CPSV models in product classes 1 and 2 because the market minimums are the standard for those classes. Because no consumers in the no-new-standards case purchase products with a higher flow rate than the respective market minimums, no consumers are affected by a standard set at EL 1 (market minimum) in product classes 1 and 2. </w:t>
      </w:r>
      <w:r>
        <w:rPr>
          <w:rFonts w:ascii="arial" w:eastAsia="arial" w:hAnsi="arial" w:cs="arial"/>
          <w:b/>
          <w:i w:val="0"/>
          <w:strike w:val="0"/>
          <w:noProof w:val="0"/>
          <w:color w:val="000000"/>
          <w:position w:val="0"/>
          <w:sz w:val="20"/>
          <w:u w:val="none"/>
          <w:vertAlign w:val="baseline"/>
        </w:rPr>
        <w:t> [*4781]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Product</w:t>
            </w:r>
          </w:p>
        </w:tc>
      </w:tr>
      <w:tr>
        <w:tblPrEx>
          <w:tblW w:w="0" w:type="auto"/>
          <w:jc w:val="center"/>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2 (&gt;5.0 ozf and &lt;/=8.0 ozf) Commercial Prerinse Spray Valves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Product Class 2 (&gt;5.0 ozf and &lt;/= 8.0 ozf)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Prerinse Spray Valves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Note: The calculation includes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TSL 3, the average LCC impact is a savings of $ 0 for CPSV models in product classes 1 and 2 because the market minimums are the standard for those classes. Because no consumers in the no-new-standards case purchase products with a higher flow rate than the respective market minimums, no consumers are affected by a standard set at EL 1 (market minimum) in product classes 1 and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w:t>
            </w:r>
          </w:p>
        </w:tc>
      </w:tr>
      <w:tr>
        <w:tblPrEx>
          <w:tblW w:w="0" w:type="auto"/>
          <w:jc w:val="center"/>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 Class 3 (&gt;8.0 ozf) Commercial Prerinse Spray Valves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 Case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Distribution for Product Class 3 (&gt;8.0 ozf) Commercial Prerinse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Valves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calculation includes consumers with zero LCC savings (no impact). </w:t>
      </w:r>
      <w:r>
        <w:rPr>
          <w:rFonts w:ascii="arial" w:eastAsia="arial" w:hAnsi="arial" w:cs="arial"/>
          <w:b/>
          <w:i w:val="0"/>
          <w:strike w:val="0"/>
          <w:noProof w:val="0"/>
          <w:color w:val="000000"/>
          <w:position w:val="0"/>
          <w:sz w:val="20"/>
          <w:u w:val="none"/>
          <w:vertAlign w:val="baseline"/>
        </w:rPr>
        <w:t> [*4782]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small businesses and limited service establishments. Table V.8 through Table V.10 compare the average LCC savings at each efficiency level for the two consumer subgroups, along with the average LCC savings for the entire sample for each product class for commercial prerinse spray valves. The average LCC savings for single entities and limited service establishments at the considered ELs are not substantially different from the average for all consumers. Chapter 11 of the final rule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V.8--Product Class 1 (&lt;/=5.0 ozf) Commercial Prerinse Spray Valves: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Comparison of Average LCC Savings for Consumer Subgroups and All 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establishm</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TSL 3, the average LCC impact is a savings of $ 0 for CPSV models in product classes 1 and 2 because the market minimums are the standard for those classes. Because no consumers in the no-new-standards case purchase products with a higher flow rate than the respective market minimums, no consumers are affected by a standard set at EL 1 (market minimum) in product classes 1 and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V.9--Product Class 2 (&gt;5.0 ozf and &lt;/=8.0 ozf)</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Prerinse Spray Valves: Comparison of Average</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 Savings for Consumer Subgroups and All 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 TSL 3, the average LCC impact is a savings of $ 0 for CPSV models in product classes 1 and 2 because the market minimums are the standard for those classes. Because no consumers in the no-new-standards case purchase products with a higher flow rate than the respective market minimums, no consumers are affected by a standard set at EL 1 (market minimum) in product classes 1 and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V.10--Product Class 3 (&gt;8.0 ozf) Commercial Prerinse Spray Valves: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Comparison of Average LCC Savings for Consumer Subgroups and All 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establish-</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IV.F.11, EPCA establishes a rebuttable presumption that an energy conservation standard is economically justified if the increased purchase cost for a product that meets the standard is less than three times the value of the first year energy and water savings resulting from the standard. In calculating a rebuttable presumption PBP for each of the considered TSLs, DOE used discrete values, and, as required by EPCA, based the energy and water use calculation on the DOE test procedure for commercial prerinse spray valves. Table V.11 presents the rebuttable-presumption PBPs for the considered TSLs. In addition to examining the rebuttable-presumption criterion, DOE also considered whether the standard levels are economically justified through a more detailed analysis of the economic impacts of those levels that considers the full range of impacts to the consumer, manufacturer, nation, and environment. (</w:t>
      </w:r>
      <w:hyperlink r:id="rId8"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The results of that analysis serve as the basis for DOE to definitively evaluate the economic justification for a potential standard level, thereby supporting or rebutting the results of any preliminary determination of economic justification. As indicated in the engineering analysis, there is no increased purchase cost for products that meets the standard, so the rebuttable PBP for each considered TSL is zero. </w:t>
      </w:r>
      <w:r>
        <w:rPr>
          <w:rFonts w:ascii="arial" w:eastAsia="arial" w:hAnsi="arial" w:cs="arial"/>
          <w:b/>
          <w:i w:val="0"/>
          <w:strike w:val="0"/>
          <w:noProof w:val="0"/>
          <w:color w:val="000000"/>
          <w:position w:val="0"/>
          <w:sz w:val="20"/>
          <w:u w:val="none"/>
          <w:vertAlign w:val="baseline"/>
        </w:rPr>
        <w:t> [*4783]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V.11--Commercial Prerinse Spray Valves: Rebuttable PBPs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Rebuttable payback period for trial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2 (&gt;5.0 ozf and &lt;/=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ozf)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3 (&gt;8.0 ozf)</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commercial prerinse spray valves. Section V.B.2.a describes the expected impacts on manufacturers at each TSL.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modeled two scenarios using different conversion cost assumptions to evaluate the range of cash flow impacts on the CPSV manufacturing industry from amended energy conservation standards. Each scenario results in a unique set of cash flows and corresponding industry value at each TSL. These assumptions correspond to the bounds of a range of capital conversion costs that DOE anticipates could occur in response to amended standards. The following tables illustrate the financial impacts (represented by changes in INPV) of amended energy conservation standards on manufacturers of commercial prerinse spray valves, as well as the conversion costs that DOE estimates manufacturers would incur for each product class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conducted a sensitivity MIA (reflected in TSL 4a) based on an alternative shipments scenario described in section IV.G.1. DOE assumed that a percentage of consumers currently using product class 3 commercial prerinse spray valves will switch to using faucets at higher flow rates. DOE did not include faucet shipments in its shipments analysis. Therefore, overall shipments decrease in the alternative shipments scenario. The alternative shipments scenario is described in more detail in section IV.G.1. The results for the sensitivity MIA are presented in Table V.12 and Table V.13 as well as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INPV results refer to the difference in industry value between the no-new-standards case and the standards case, which DOE calculated by summing the discounted industry cash flows from the base year (2015) through the end of the analysis period (2048). The discussion also notes the difference in cash flow between the no-new-standards case and the standards case in the year before the compliance date of amended energy conservation standards.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V.12--Manufacturer Impact Analysis for Commercial Prerinse Spray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Valves--With the Sourced Components Capital Conversion Costs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V.13--Manufacturer Impact Analysis for Commercial Prerinse Spray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Valves--With the Fabricated Components Capital Conversion Costs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Investment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MM</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Parentheses indicate negative values. </w:t>
      </w:r>
      <w:r>
        <w:rPr>
          <w:rFonts w:ascii="arial" w:eastAsia="arial" w:hAnsi="arial" w:cs="arial"/>
          <w:b/>
          <w:i w:val="0"/>
          <w:strike w:val="0"/>
          <w:noProof w:val="0"/>
          <w:color w:val="000000"/>
          <w:position w:val="0"/>
          <w:sz w:val="20"/>
          <w:u w:val="none"/>
          <w:vertAlign w:val="baseline"/>
        </w:rPr>
        <w:t> [*4784]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impacts on INPV to range from -$ 1.5 million to -$ 0.8 million, or a change in INPV of -17.5 percent to -9.9 percent for the Fabricated Components and Sourced Components Capital Conversion Costs scenarios, respectively. At this level, industry free cash flow is estimated to decrease by as much as 165.6 percent to -$ 0.3 million, compared to the no-new-standards case value of $ 0.5 million in the year leading up to the amended energy conservation standards. As DOE forecasts that approximately 63 percent of commercial prerinse spray valves shipments in the no-new-standards case will meet TSL 1 in the first year that standards are in effect (2019), 37 percent of the market shipments are affected at this standard level. The impact on INPV at TSL 1 stems exclusively from the conversion costs associated with the conversion of baseline units to those meeting the standards set at TSL 1. Product and capital conversion costs are estimated to be approximately $ 1.2 million for the Sourced Components Capital Conversion Costs scenario and $ 2.0 million for the Fabricated Components Capital Conversion Costs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to range from -$ 1.8 million to -$ 1.1 million, or a change in INPV of -21.4 percent to -12.8 percent for the Fabricated Components and Sourced Components Capital Conversion Costs scenarios, respectively. At this level, industry free cash flow is estimated to decrease by as much as 202.7 percent to -$ 0.5 million, compared to the no-new-standards case value of $ 0.5 million in the year leading up to the amended energy conservation standards. As it is estimated that only approximately 27 percent of commercial prerinse spray valves shipments will meet the efficiency levels specified at TSL 2 in the first year that standards are in effect (2019), 73 percent of the market shipments are affected at this standard level. As with TSL 1, the impact on INPV at TSL 2 stems exclusively from the conversion costs associated with the conversion of lower efficiency units to those meeting the standards set at TSL 2. Since the majority of commercial prerinse spray valves will have to be updated to reach the standard level, product and capital conversion costs are estimated to be approximately $ 2.0 million for the Sourced Components Capital Conversion Costs scenario and $ 2.8 million for the Fabricated Components Capital Conversion Costs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to range from -$ 1.1 million to -$ 0.6 million, or a change in INPV of -13.1 percent to -6.5 percent for the Fabricated Components and Sourced Components Capital Conversion Cost scenarios, respectively. At this level, industry free cash flow is estimated to decrease by as much as 124.4 percent to -$ 0.1 million, compared to the no-new-standards case value of $ 0.5 million in the year leading up to the amended energy conservation standards. It is estimated that 55 percent of commercial prerinse spray valves shipments will meet the efficiency levels specified at TSL 3 in the first year that standards are in effect (2019); 45 percent of market shipments are affected at this standard level. Again, the impact on INPV at TSL 3 stems exclusively from the conversion costs associated with the conversion of lower efficiency units to those meeting the standards set at TSL 3. Since the majority of commercial prerinse spray valves already meet the standard level, product and capital conversion costs are estimated to be approximately $ 1.0 million for the Sourced Components Capital Conversion Costs scenario and $ 1.6 million for the Fabricated Components Capital Conversion Costs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impacts on INPV to range from -$ 2.4 million to -$ 1.5 million, or a change in INPV of -28.0 percent to -17.4 percent for the Fabricated Components and Sourced Components Capital Conversion Cost scenarios, respectively. At this level, industry free cash flow is estimated to decrease by as much as 275.3 percent to -$ 0.8 million, compared to the no-new-standards case value of $ 0.5 million in the year leading up to the amended energy conservation standards. It is estimated that just 7 percent of commercial prerinse spray valves shipments will meet the efficiency levels specified at TSL 4 in the first year that standards are in effect (2019). Again, the impact on INPV at TSL 4 stems exclusively from the conversion costs associated with the conversion of lower efficiency units to those meeting the standards set at TSL 4. Since the majority of commercial prerinse spray valves will have to be updated to reach the standard level, product and capital conversion costs are estimated to be approximately $ 2.6 million for the Sourced Components Capital Conversion Costs scenario and $ 3.6 million for the Fabricated Components Capital Conversion Costs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at TSL 4a, DOE estimates impacts on INPV to range from -$ 3.8 million to -$ 3.1 million, or a change in INPV of -44.4 percent to -36.3 percent for the Fabricated Components and Sourced Components Capital Conversion Cost scenarios, respectively. At this level, industry free cash flow is estimated to decrease by as much as 189.4 percent to -$ 0.4 million, compared to the no-new-standards case value of $ 0.5 million in the year leading up to the amended energy conservation standards. It is estimated that just 7 percent of commercial prerinse spray valves will meet the efficiency levels specified at TSL 4a in the first year that standards are in effect (2019). The impact on INPV at TSL 4a stems from the conversion costs associated with the conversion of lower efficiency units to those meeting the standards set at TSL 4a, and from a reduction in shipments in product class 3 by 46 percent. Since the majority of commercial prerinse spray valves will have to be updated to reach the standard level, product and capital conversion costs are estimated to be approximately $ 1.9 million for the Sourced Components Capital Conversion Costs scenario and $ 2.7 million for the Fabricated Components Capital Conversion Costs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the GRIM to estimate the domestic labor expenditures and number of domestic production workers in the no-new-standards case and at each TSL from 2014 through 2048. DOE used the labor content of each product and the MPCs from the engineering analysis to estimate the total annual labor expenditures associated with commercial prerinse spray valves sold in the United States. Using statistical data from the U.S. Census Bureau's 2013 "Annual Survey of Manufactures" (2013 ASM) as well as market research, DOE estimates that 100 percent of commercial prerinse spray valves sold in the United States are assembled domestically, and hence that portion of total labor expenditures is attributable to domestic labor. n59 Labor expenditures for the manufacturing of products are a function of the labor intensity of the product, the sales volume, and an assumption that wages in real terms remain constant.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Census Bureau. </w:t>
      </w:r>
      <w:r>
        <w:rPr>
          <w:rFonts w:ascii="arial" w:eastAsia="arial" w:hAnsi="arial" w:cs="arial"/>
          <w:b w:val="0"/>
          <w:i/>
          <w:strike w:val="0"/>
          <w:noProof w:val="0"/>
          <w:color w:val="000000"/>
          <w:position w:val="0"/>
          <w:sz w:val="20"/>
          <w:u w:val="none"/>
          <w:vertAlign w:val="baseline"/>
        </w:rPr>
        <w:t>U.S. Census Bureau Annual Survey of Manufacturers 2013.</w:t>
      </w:r>
      <w:r>
        <w:rPr>
          <w:rFonts w:ascii="arial" w:eastAsia="arial" w:hAnsi="arial" w:cs="arial"/>
          <w:b w:val="0"/>
          <w:i w:val="0"/>
          <w:strike w:val="0"/>
          <w:noProof w:val="0"/>
          <w:color w:val="000000"/>
          <w:position w:val="0"/>
          <w:sz w:val="20"/>
          <w:u w:val="none"/>
          <w:vertAlign w:val="baseline"/>
        </w:rPr>
        <w:t xml:space="preserve"> 2013. Available at </w:t>
      </w:r>
      <w:hyperlink r:id="rId63" w:history="1">
        <w:r>
          <w:rPr>
            <w:rFonts w:ascii="arial" w:eastAsia="arial" w:hAnsi="arial" w:cs="arial"/>
            <w:b w:val="0"/>
            <w:i/>
            <w:strike w:val="0"/>
            <w:noProof w:val="0"/>
            <w:color w:val="0077CC"/>
            <w:position w:val="0"/>
            <w:sz w:val="20"/>
            <w:u w:val="single"/>
            <w:vertAlign w:val="baseline"/>
          </w:rPr>
          <w:t>http://www.census.gov/manufacturing/asm/historical_data/index.html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GRIM, DOE forecasts the domestic labor expenditure for commercial prerinse spray valve production labor in 2019 will be approximately $ 1.9 million. Using the $ 20.51 hourly wage rate including fringe benefits and 2,019 production hours per year per employee found in the 2013 ASM, DOE estimates there will be approximately 46 domestic production workers involved in assembling and, to </w:t>
      </w:r>
      <w:r>
        <w:rPr>
          <w:rFonts w:ascii="arial" w:eastAsia="arial" w:hAnsi="arial" w:cs="arial"/>
          <w:b/>
          <w:i w:val="0"/>
          <w:strike w:val="0"/>
          <w:noProof w:val="0"/>
          <w:color w:val="000000"/>
          <w:position w:val="0"/>
          <w:sz w:val="20"/>
          <w:u w:val="none"/>
          <w:vertAlign w:val="baseline"/>
        </w:rPr>
        <w:t> [*4785] </w:t>
      </w:r>
      <w:r>
        <w:rPr>
          <w:rFonts w:ascii="arial" w:eastAsia="arial" w:hAnsi="arial" w:cs="arial"/>
          <w:b w:val="0"/>
          <w:i w:val="0"/>
          <w:strike w:val="0"/>
          <w:noProof w:val="0"/>
          <w:color w:val="000000"/>
          <w:position w:val="0"/>
          <w:sz w:val="20"/>
          <w:u w:val="none"/>
          <w:vertAlign w:val="baseline"/>
        </w:rPr>
        <w:t xml:space="preserve"> a lesser extent, fabricating components for commercial prerinse spray valves in 2019, the year in which the amended standards go into effect. In addition, DOE estimates that 21 non-production employees in the United States will support commercial prerinse spray valve production. The employment spreadsheet of the commercial prerinse spray valve GRIM shows the annual domestic employment impacts in further detail.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The employment spreadsheet is available in the GRIM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number EERE-2014-BT-STD-0027.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production worker estimates in this section cover workers only up to the line-supervisor level who are directly involved in fabricating and assembling commercial prerinse spray valves within an original equipment manufacturer (OEM) facility. Workers performing services that are closely associated with production operations, such as material handling with a forklift, are also included as production labor. Additionally, the employment impacts shown are independent of the employment impacts from the broader U.S. economy, which are documented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V.14 depicts the potential levels of production employment that could result following amended energy conservation standards as calculated by the GRIM. The employment levels shown reflect the scenario in which manufacturers continue to produce the same scope of covered products in domestic facilities and domestic production is not shifted to lower-labor-cost countries. The following discussion includes a qualitative evaluation of the likelihood of negative domestic production employment impacts at the various TSLs.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V.14--Total Number of Domestic Commercial Prerinse Spray Valve</w:t>
            </w:r>
          </w:p>
        </w:tc>
      </w:tr>
      <w:tr>
        <w:tblPrEx>
          <w:tblW w:w="0" w:type="auto"/>
          <w:jc w:val="center"/>
          <w:tblLayout w:type="fixed"/>
          <w:tblCellMar>
            <w:left w:w="108" w:type="dxa"/>
            <w:right w:w="108" w:type="dxa"/>
          </w:tblCellMar>
        </w:tblPrEx>
        <w:trPr>
          <w:tblHeader/>
          <w:jc w:val="center"/>
        </w:trPr>
        <w:tc>
          <w:tcPr>
            <w:tcW w:w="81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Workers in 2019</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2019</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options specified for achieving greater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reducing the spray hole area, changing spray hole shape, or changing the nozzle geometry from a venturi meter to an orifice plate) do not increase the labor content (measured in dollars) of commercial prerinse spray valves at any EL, nor do they increase total MPC. Except for TSL 4a, the total industry shipments are forecasted to be constant across TSLs. Therefore, DOE predicts no change in domestic manufacturing employment levels, provided manufacturers do not relocate production facilities outside of the United States, at TSLs 1 to 4. At TSL 4a, the total number of production workers for commercial prerinse spray valves in the United States is expected to decrease to 27 due to a reduction in industry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55 percent of CPSV shipments already comply with the amended energy conservation standards adopted in this rulemaking. The majority of manufacturers already offer products that meet the amended energy conservation standards for commercial prerinse spray valves. Therefore, DOE does not foresee any impact on manufacturing capacity during the period leading up to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a cost structure substantially different from the industry average could be affected disproportionately. DOE examined the potential for disproportionate impacts on small business manufacturers in section VI.B of this document. DOE did not identify any other manufacturer subgroups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can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DOE considers other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commercial prerinse spray valve manufacturers that will take effect approximately 3 years before or after the compliance date for the amended energy conservation standards. The compliance years and expected industry conversion costs of energy conservation standards that may also impact commercial prerinse spray valve manufacturers are indicated in Table V.15.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Commercial Prerinse Spray Valve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$ 43.1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Freezers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Refrigerator-Freezers, 79</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17725 (March 28, 2014)</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and State-Level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DOE's energy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commercial prerinse spray valves and other products also sold by commercial prerinse spray valve manufacturers, several other existing and 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commercial prerinse spray valves, including third-party and international industry standards and certification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ASME A112.18.1/CSA B125.1, ASTM Standard F2324) and state water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California, Texas, and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response to the CPSV NOPR, DOE received several comments related to the substantial cumulative burden associated with compliance with the EPA WaterSense specification. DOE summarized these comments in section IV.J.3 of this document. See chapter 12 of the final rule TSD for the results of DOE's analysis of the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and water savings attributable to amended standards for commercial prerinse spray valves, DOE compared the energy consumption of those products under the no-new-standards case to their anticipated energy consumption under each TSL. The savings are measured over the entire lifetime of products purchased in the 30-year period that begins in the first year of compliance with the amended standards (2019-2048). Table V.16 presents DOE's projections of the NES for each TSL considered for commercial prerinse spray valves. The savings were calculated using the approach described in section IV.H.1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V.16--Commercial Prerinse Spray Valves: Cumulative National Energy and</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Savings for Products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energy</w:t>
            </w: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FFC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144.916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1</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(210.875)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2</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3a</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250.516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(118.272)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250.516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(593.418)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4a</w:t>
            </w:r>
          </w:p>
        </w:tc>
        <w:tc>
          <w:tcPr>
            <w:tcW w:w="3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n61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9, rather than 30, years of product shipments. The choice of a 9-year period is a proxy for the timeline in EPCA for the review of certain energy conservation standards and potential revision of and compliance with such revised standards. n62 The review timeframe established in EPCA is generally not synchronized with the product lifetime, product manufacturing cycles, or other factors specific to CPSV equipment. Thus, such results are presented for informational purposes only and are not indicative of any </w:t>
      </w:r>
      <w:r>
        <w:rPr>
          <w:rFonts w:ascii="arial" w:eastAsia="arial" w:hAnsi="arial" w:cs="arial"/>
          <w:b/>
          <w:i w:val="0"/>
          <w:strike w:val="0"/>
          <w:noProof w:val="0"/>
          <w:color w:val="000000"/>
          <w:position w:val="0"/>
          <w:sz w:val="20"/>
          <w:u w:val="none"/>
          <w:vertAlign w:val="baseline"/>
        </w:rPr>
        <w:t> [*4787] </w:t>
      </w:r>
      <w:r>
        <w:rPr>
          <w:rFonts w:ascii="arial" w:eastAsia="arial" w:hAnsi="arial" w:cs="arial"/>
          <w:b w:val="0"/>
          <w:i w:val="0"/>
          <w:strike w:val="0"/>
          <w:noProof w:val="0"/>
          <w:color w:val="000000"/>
          <w:position w:val="0"/>
          <w:sz w:val="20"/>
          <w:u w:val="none"/>
          <w:vertAlign w:val="baseline"/>
        </w:rPr>
        <w:t xml:space="preserve"> change in DOE's analytical methodology. Table V.17 reports cumulative national energy and water savings associated with this shorter analysis period of 2019-2027. The impacts are counted over the lifetime of products purchased during this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Office of Management and Budget, "Circular A-4: Regulatory Analysis" (Sept. 17, 2003) (Available at: </w:t>
      </w:r>
      <w:hyperlink r:id="rId6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V.17--Commercial Prerinse Spray Valves: Cumulative National Energy and</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Savings for Products Shipped in 2019-2027</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energy</w:t>
            </w: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FFC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1</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84.010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2</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3a</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w:t>
            </w:r>
          </w:p>
        </w:tc>
        <w:tc>
          <w:tcPr>
            <w:tcW w:w="3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(159.824)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4a</w:t>
            </w:r>
          </w:p>
        </w:tc>
        <w:tc>
          <w:tcPr>
            <w:tcW w:w="37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to the nation of the total costs and savings for consumers that would result from particular standard levels for commercial prerinse spray valves. In accordance with OMB's guidelines on regulatory analysis, n63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U.S. Office of Management and Budget, "Circular A-4: Regulatory Analysis, section E," (Sept. 17, 2003) (Available at: </w:t>
      </w:r>
      <w:hyperlink r:id="rId64"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shows the consumer NPV results for each TSL DOE considered for commercial prerinse spray valves. The impacts are counted over the lifetime of products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V.18--Commercial Prerinse Spray Valves: Cumulative Net Present Value of</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Benefits for Product Shipped in 2019-2048</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1</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2</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3a</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 *</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4a</w:t>
            </w:r>
          </w:p>
        </w:tc>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TSL 4a, DOE assumed that the installed costs for faucets and commercial prerinse spray valves are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determined financial impacts for a sensitivity case utilizing a 9-year analysis period. Table V.19 reports NPV results associated with this shorter analysis period. The impacts are counted over the lifetime of products purchased in 2019-2027. This information is presented for informational purposes only, and is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4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V.19--Commercial Prerinse Spray Valves: Cumulative Net Present Value of</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 Benefits for Equipment Shipped in 2019-2027</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present value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$ 2014)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1</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2</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3a</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3a</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w:t>
            </w: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4a *</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5.0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(&gt;5.0 ozf and &lt;/= 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(&gt;8.0 ozf)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TSL 4a</w:t>
            </w:r>
          </w:p>
        </w:tc>
        <w:tc>
          <w:tcPr>
            <w:tcW w:w="45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TSL 4a, DOE assumed that the installed costs for faucets and commercial prerinse spray valves are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amended energy conservation standards for commercial prerinse spray valves to reduce energy bills for consumers of those products, with the resulting net savings being redirected to other forms of economic activity. These expected shifts in spending and economic activity could affect the demand for labor. Thus, indirect employment impacts may result from expenditures shifting between goods (the substitution effect) and changes in income and overall expenditures (the income effect).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(2020-2025),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amended standards are likely to have a negligible impact on the net demand for labor in the economy. All TSLs increase net demand for labor by fewer than 500 jobs. The net change in jobs is so small that it would be imperceptible in national labor statistics, and it might be offset by other, unanticipated effects on employment. Chapter 16 of the final rule TSD presents detailed results regarding indirect employment impacts. As shown in Table V.20, DOE estimates that net indirect employment impacts from a CPSV amended standard are small relative to the national economy.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V.20--Net Short-Term Change in Employment (Jobs)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rulemaking, discussed in section IV.C.4.b of this document, DOE has concluded that the amended standards in this final rule would not reduce the utility or performance of the commercial prerinse spray valves under consideration in this rulemaking. Manufacturers of these products currently offer units that meet or exceed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III.F.1.e,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within 60 days of the publication of a proposed rule, along with an analysis of the nature and extent of the impact. To assist the Attorney General in making such determination, DOE provided the DOJ with copies of the CPSV NOPR and TSD for review. In its assessment letter responding to DOE, DOJ concluded that the amended energy conservation standards for commercial prerinse spray valves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conservation from amended standards for commercial prerinse spray valves is expected to yield environmental benefits in the form of reduced emissions of air pollutants and GHGs. Table V.21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final rule TSD. </w:t>
      </w:r>
      <w:r>
        <w:rPr>
          <w:rFonts w:ascii="arial" w:eastAsia="arial" w:hAnsi="arial" w:cs="arial"/>
          <w:b/>
          <w:i w:val="0"/>
          <w:strike w:val="0"/>
          <w:noProof w:val="0"/>
          <w:color w:val="000000"/>
          <w:position w:val="0"/>
          <w:sz w:val="20"/>
          <w:u w:val="none"/>
          <w:vertAlign w:val="baseline"/>
        </w:rPr>
        <w:t> [*4790]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V.21--Cumulative Emissions Reduction Estimated for Commercial Prerinse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Valves Trial Standard Levels for Products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and Site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2,307.80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rule, DOE estimated monetary benefits likely to result from the reduced emissions of CO[2] and NO[X] that DOE estimated for each of the considered TSLs for commercial prerinse spray valves. As discussed in section IV.L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V.22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Commercial Prerinse Spray Valves TSLs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Primary Energy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final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commercial prerinse spray valves. The dollar-per-ton value that DOE used is discussed in section IV.L of this document. Table V.23 presents the cumulative present values for NO[X] emissions for each TSL calculated using 7-percent and 3-percent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V.23--Estimates of Present Value of NO[X] Emissions Reduction Under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Prerinse Spray Valves Trial Standard Levels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8"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w:t>
      </w:r>
      <w:r>
        <w:rPr>
          <w:rFonts w:ascii="arial" w:eastAsia="arial" w:hAnsi="arial" w:cs="arial"/>
          <w:b/>
          <w:i w:val="0"/>
          <w:strike w:val="0"/>
          <w:noProof w:val="0"/>
          <w:color w:val="000000"/>
          <w:position w:val="0"/>
          <w:sz w:val="20"/>
          <w:u w:val="none"/>
          <w:vertAlign w:val="baseline"/>
        </w:rPr>
        <w:t> [*4792] </w:t>
      </w:r>
      <w:r>
        <w:rPr>
          <w:rFonts w:ascii="arial" w:eastAsia="arial" w:hAnsi="arial" w:cs="arial"/>
          <w:b w:val="0"/>
          <w:i w:val="0"/>
          <w:strike w:val="0"/>
          <w:noProof w:val="0"/>
          <w:color w:val="000000"/>
          <w:position w:val="0"/>
          <w:sz w:val="20"/>
          <w:u w:val="none"/>
          <w:vertAlign w:val="baseline"/>
        </w:rPr>
        <w:t xml:space="preserve"> for each TSL considered in this rulemaking. Table V.24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in section V.B.6.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Value of</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CO[2]*</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Medium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Medium</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Medium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for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3.692</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1.249</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1.335</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1.826</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medium value for NO[X] is $ 2,723 per short ton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results discussed previously,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2019 through 2048. Because CO[2] emissions have a very long residence time in the atmosphere, n64 the SCC values in future years reflect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8"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8"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8"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amended standards for commercial prerinse spray valves at each TSL, beginning with the max-tech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in the following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w:t>
      </w:r>
      <w:r>
        <w:rPr>
          <w:rFonts w:ascii="arial" w:eastAsia="arial" w:hAnsi="arial" w:cs="arial"/>
          <w:b/>
          <w:i w:val="0"/>
          <w:strike w:val="0"/>
          <w:noProof w:val="0"/>
          <w:color w:val="000000"/>
          <w:position w:val="0"/>
          <w:sz w:val="20"/>
          <w:u w:val="none"/>
          <w:vertAlign w:val="baseline"/>
        </w:rPr>
        <w:t> [*4793] </w:t>
      </w:r>
      <w:r>
        <w:rPr>
          <w:rFonts w:ascii="arial" w:eastAsia="arial" w:hAnsi="arial" w:cs="arial"/>
          <w:b w:val="0"/>
          <w:i w:val="0"/>
          <w:strike w:val="0"/>
          <w:noProof w:val="0"/>
          <w:color w:val="000000"/>
          <w:position w:val="0"/>
          <w:sz w:val="20"/>
          <w:u w:val="none"/>
          <w:vertAlign w:val="baseline"/>
        </w:rPr>
        <w:t xml:space="preserv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heterogeneity in consumer preferences, preferences across subcategories of products or specific features, or consumer price sensitivity variation according to household income.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72, 853-883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Alan Sanstad, Notes on the Economics of Household Energy Consumption and Technology Choice. Lawrence Berkeley National Laboratory (2010) (Available online at: </w:t>
      </w:r>
      <w:hyperlink r:id="rId65"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Commercial Prerinse Spray Valve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V.25 and Table V.26 summarize the quantitative impacts estimated for each TSL for commercial prerinse spray valves. The national impacts are measured over the lifetime of commercial prerinse spray valves purchased in the 30-year period that begins in the first year of compliance with amended standards (2019-2048). The energy savings, emissions reductions, and value of emissions reductions refer to full-fuel-cycle results. The efficiency levels contained in each TSL are described in section V.A of this document. Note that the tables in this section report the results only for the standard TSLs that utilize the default shipments scenario. Results for the two sensitivity-case TSLs are reported in sections V.B.2 and V.B.3.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V.25--Summary of Analytical Results for Commercial Prerinse Spray Valve</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 National Impacts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Energy Savings (quads)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Water Savings (billion gal)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208.06.</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Benefits (2014$ billion)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1,241.00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1,326.29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2,307.80.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to 251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 555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to 594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1033.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to 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 to 110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 to 117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 to 204.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to 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to 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to 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680" w:type="dxa"/>
            <w:tcBorders>
              <w:right w:val="nil"/>
            </w:tcBorders>
          </w:tcP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V.26--Summary of Analytical Results for Commercial Prerinse Spray Valve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 Manufacturer and Consumer Impacts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Relative to a No-New-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 Value of 8.6 (2014$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6.9% discount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Direct Employment Impacts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Increase in Domestic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 Workers in 2019</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1 (&lt;/=5.0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2 (&gt;5.0 and &lt;/=8.0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3 (&gt;8.0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1 (&lt;/=5.0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2 (&gt;5.0 and &lt;/=8.0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3 (&gt;8.0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Distribution of Consumer LCC Impacts--Net Cost (%)</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1 (&lt;/=5.0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2 (&gt;5.0 and &lt;/=8.0 ozf)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3 (&gt;8.0 ozf)</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 The entry "N/A" means not applicable because there is no change in the standard at certain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0.18 quads of energy and 208.06 billion gallons of water. Under TSL 4, the NPV of consumer benefit would be $ 1.25 billion using a discount rate of 7 percent, and $ 2.57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10.21 Mt of CO[2], 25.57 thousand tons of NO[X], 3.11 thousand tons of SO[2], 0.01 tons of Hg, 0.07 thousand tons of N[2] O, and 82.42 thousand tons of CH[4]. The estimated monetary value of the CO[2] emissions reductions at TSL 4 ranges from $ 77 million to $ 1,033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$ 357 for CPSV models in product class 1, $ 825 for CPSV models in product class 2, and $ 766 for CPSV models in product class 3. The simple PBP is 0.0 years for all CPSV models because there are no incremental equipment costs for more efficient products. The fraction of consumers experiencing an LCC net cost is 0 percent for all CPSV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$ 2.4 million to a decrease of $ 1.5 million. If the lower bound of the range of impacts is reached, TSL 4 could result in a net loss of up to 28.0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TSL 4 for commercial prerinse spray valves provides positive LCC savings and a positive total NPV of consumer benefits, the estimated industry losses are large. Moreover, the studied sensitivity case of TSL 4a indicated that the outcomes of setting a standard at TSL 4 could be far less favorable, including sufficient loss of utility to drive consumers from the CPSV market to another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4a would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energy use by 0.23 quads of energy, and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water use by 267.08 billion gallons of water. Under TSL 4a, the NPV of consumer benefit would be -$ 1.60 billion using a discount rate of 7 percent, and -$ 3.30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4a, the projected change in INPV ranges from a decrease of $ 3.8 million to a decrease of $ 3.1 million. If the lower bound of the range of impacts is reached, TSL 4 could result in a net loss of up to 44.4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Secretary concludes that at TSL 4 the benefits of energy savings, positive NPV of consumer benefits, emission reductions, and the estimated monetary value of the emissions reductions would be outweighed by the reduction in manufacturer industry value.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saves an estimated total of 0.10 quads of energy and 119.57 billion gallons of water. TSL 3 has an estimated NPV of consumer benefit of $ 0.72 billion using a 7-percent discount rate, and $ 1.48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the minimum flow rate for each product class that would not induce consumers to switch product classes as a result of a standard at those flow rates, and retains shower-type designs. Therefore, unlike TSL 4, TSL 3 maintains consumer utility and the availability of all types of products currently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5.87 Mt of CO[2], 14.70 thousand tons of NO[X], 1.79 thousand tons of SO[2], 0.01 tons of Hg, and 47.37 thousand tons of CH[4]. The estimated monetary value of the CO[2] emissions reductions at TSL 3 ranges from $ 44 million to $ 594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$ 0 for CPSV models in product classes 1 and 2 because the market minimums are the standard for those classes. Because no consumers in the no-new-standards case purchase products with a higher flow rate than the respective market minimums, no consumers are affected by a standard set at EL 1 (market minimum) in product classes 1 and 2. Consumers of CPSV models in product class 3 save an average of $ 547 over a product's lifetime. The simple payback period is 0.0 years for all CPSV models. The fraction of consumers experiencing an LCC net cost is 0 percent for all CPSV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projected change in INPV ranges from a decrease of $ 1.1 million to a decrease of $ 0.6 million. If the lower bound of the range of impacts is reached, TSL 3 could result in a net loss of up to 13.1 percent in INPV for manufacturers. Moreover, the studied sensitivity case of TSL 3a indicated that </w:t>
      </w:r>
      <w:r>
        <w:rPr>
          <w:rFonts w:ascii="arial" w:eastAsia="arial" w:hAnsi="arial" w:cs="arial"/>
          <w:b/>
          <w:i w:val="0"/>
          <w:strike w:val="0"/>
          <w:noProof w:val="0"/>
          <w:color w:val="000000"/>
          <w:position w:val="0"/>
          <w:sz w:val="20"/>
          <w:u w:val="none"/>
          <w:vertAlign w:val="baseline"/>
        </w:rPr>
        <w:t> [*4795] </w:t>
      </w:r>
      <w:r>
        <w:rPr>
          <w:rFonts w:ascii="arial" w:eastAsia="arial" w:hAnsi="arial" w:cs="arial"/>
          <w:b w:val="0"/>
          <w:i w:val="0"/>
          <w:strike w:val="0"/>
          <w:noProof w:val="0"/>
          <w:color w:val="000000"/>
          <w:position w:val="0"/>
          <w:sz w:val="20"/>
          <w:u w:val="none"/>
          <w:vertAlign w:val="baseline"/>
        </w:rPr>
        <w:t xml:space="preserve"> the outcomes of setting a standard at TSL 3 could provide an opportunity for incremental savings for product classes 1 and 2, if some products exist at the current minimum standard level. These additional savings enable TSL 3a to save an estimated total of 0.10 quads of energy and 121.52 billion gallons of water. TSL 3a has an estimated NPV of consumer benefit of $ 0.73 billion using a 7-percent discount rate, and $ 1.50 billion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concludes that at TSL 3 for commercial prerinse spray valves, the benefits of energy savings, water savings, positive NPV of consumer benefits, emission reductions, and the estimated monetary value of the CO[2] emissions reductions would outweigh the negative impacts on manufacturers, including the conversion costs that could result in a reduction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the benefits and burdens of TSL 3, DOE concludes that this TSL will offer the maximum improvement in efficiency that is technologically feasible and economically justified, and will result in the significant conservation of energy and water. Therefore, DOE adopts TSL 3 for commercial prerinse spray valves. The amended energy conservation standards for commercial prerinse spray valves, which are described in terms of flow rate, are shown in Table V.27.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V.27--Amended Energy Conservation Standards for Commercial Prerinse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Spray Valves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(gpm)</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Class1 (&lt;/= 5.0 ozf)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Class2 (&gt;5.0 ozf and &lt;/= 8.0 ozf)</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Class 3 (&gt;8.0 ozf)</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amended standards can also be expressed in terms of annualized values. The annualized net benefit is the sum of (1) the annualized national economic value (expressed in 2014] of the benefits from operating products that meet the amended standards (consisting primarily of operating cost savings from using less energy and water, minus increases in product purchase costs) and (2) the annualized monetary value of the benefits of CO[2] and NO[X] emission reductions.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shows the annualized values for commercial prerinse spray valves under TSL 3, expressed in 2014$ . Using a 7-percent discount rate for benefits and costs other than CO[2] reduction (for which DOE used a 3-percent discount rate, along with the SCC series that has a value of $ 40.0 per metric ton in 2015), there are no increased product costs associated with the standards described in this rule, while the benefits are $ 69.90 million per year in reduced product operating costs, $ 10.94 million per year in CO[2] reductions, and $ 1.00 million per year in reduced NO[X] emissions. In this case, the net benefit amounts to $ 81.85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as well as the average SCC series that has a value of $ 40.0 per metric ton in 2015, there are no increased product costs associated with the standards described in this rule, while the benefits are $ 81.32 million per year in reduced operating costs, $ 10.94 million in CO[2] reductions, and $ 1.11 million in reduced NO[X] emissions. In this case, the net benefit amounts to $ 93.37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V.28--Annualized Benefits and Costs of Amended Standards (TSL 3) for</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Prerinse Spray Valves Sold in 2019-2048</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$ 12.0/t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$ 40.5/t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$ 62.4/t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at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$ 119/t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to 101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 to 118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to 126.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 to 0.13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 to 0.13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 to 0.13.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 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 0.08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 to 0.08.</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 to 106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 to 101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 to 118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to 112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to 126.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commercial prerinse spray valves shipped in 2019-2048. These results include benefits to consumers which accrue after 2048 from the products purchased in 2019-2048. The results account for the incremental variable and fixed costs incurred by manufacturers due to the amended standard, some of which may be incurred in preparation for the rule. The primary, low benefits, and high benefits estimates utilize projections of energy prices from the AEO2015 reference case, low estimate, and high estimate,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percent, 3 percent, and 2.5 percent discount rates, respectively. The fourth case represents the 95th percentile of the SCC distribution calculated using a 3 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$/ton values used for NO[X] are described in section IV.L. The Primary and Low Benefits Estimates used the values at the low end of the ranges estimated by EPA, while the High Benefits Estimate uses the values at the high end of the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3-percent and 7-percent cases are derived using the series corresponding to the average SCC with a 3-percent discount rate ($ 40.0/metric ton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lower value of the range represents costs associated with the Sourced Components conversion cost scenario. The upper value represents costs for the Fabricated Components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 Total benefits for both the 3 percent and 7 percent cases are derived using the series corresponding to the average SCC with 3 percent discount rate. In the rows labeled "7% plus CO&amp;ihel2; range" and "3% plus CO&amp;ihel2; range," the operating cost and NO[X] benefits are calculated using the labeled discount rate, and those values are added to the full range of CO&amp;ihel2; values. Manufacturer Conversion Costs are not included in the net benefits calculations.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9"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amended standards for commercial prerinse spray valves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 efficient products are not realized due to misaligned incentives between purchasers and users. An example of such a case is when the product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commercial prerinse spray valves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this regulatory action is not a significant regulatory action under section (3)(f) of Executive Order 12866. Section 6(a)(3)(A) of the Executive Order states that absent a material change in the development of the planned regulatory action, regulatory action not designated as significant will not be subject to review under section 6(a)(3) unless, within 10 working days of receipt of DOE's list of planned regulatory actions, the Administrator of OIRA notifies the agency that OIRA has determined that a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significant regulatory action within the meaning of the Executive order. Accordingly, DOE is not submitting this final rule for review by OIRA.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this regulatory action is not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 explanation why the planned regulatory action is preferable to the identified potential alternatives. These assessments can be found in the technical support document for this rulemaking. 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6"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providing economic incentives to encourage the desired behavior, such as user fees or marketable permits, or providing </w:t>
      </w:r>
      <w:r>
        <w:rPr>
          <w:rFonts w:ascii="arial" w:eastAsia="arial" w:hAnsi="arial" w:cs="arial"/>
          <w:b/>
          <w:i w:val="0"/>
          <w:strike w:val="0"/>
          <w:noProof w:val="0"/>
          <w:color w:val="000000"/>
          <w:position w:val="0"/>
          <w:sz w:val="20"/>
          <w:u w:val="none"/>
          <w:vertAlign w:val="baseline"/>
        </w:rPr>
        <w:t> [*4797] </w:t>
      </w:r>
      <w:r>
        <w:rPr>
          <w:rFonts w:ascii="arial" w:eastAsia="arial" w:hAnsi="arial" w:cs="arial"/>
          <w:b w:val="0"/>
          <w:i w:val="0"/>
          <w:strike w:val="0"/>
          <w:noProof w:val="0"/>
          <w:color w:val="000000"/>
          <w:position w:val="0"/>
          <w:sz w:val="20"/>
          <w:u w:val="none"/>
          <w:vertAlign w:val="baseline"/>
        </w:rPr>
        <w:t xml:space="preserve">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final regulatory flexibility analysis (FRFA)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7"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8"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9"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commercial prerinse spray valves,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and are available at </w:t>
      </w:r>
      <w:hyperlink r:id="rId70"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Manufacturing of commercial prerinse spray valves is classified under NAICS 332919, "Other Metal Valve and Pipe Fitting Manufacturing." The SBA sets a threshold of 500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of the need for, and objectives of, the rule is stated elsewhere in the preamble and not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the Significant Issues Raised by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specifically on the initial regulatory flexibility analysis prepared for this rulemaking. Comments on the economic impacts of the rule are discussed elsewhere in the preamble and did not necessitate changes to the analysis required by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Submitted by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 did not file any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small businesses that could be impacted by the amended energy conservation standards, DOE conducted a market survey using public information to identify potential small manufacturers. DOE reviewed the DOE's CCMS database, EPA's WaterSense program database, individual company Web sites, and various marketing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import, assemble, or otherwise manufacture commercial prerinse spray valves covered by this rulemaking. DOE screened out companies that do not offer products covered by this rulemaking, do not meet the definition of a "small business," or are foreign-owned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13 commercial spray valve manufacturers selling commercial prerinse spray valves in the United States, 9 of which are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nine small domestic commercial prerinse spray valve manufacturers account for approximately 83 percent of commercial spray valve basic models currently on the market. The remaining 17 percent of commercial spray valve spray basic models currently on the market are offered by four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basic model counts, DOE estimated the distribution of industry conversion costs between small manufacturers and large manufacturers. Using its count of manufacturers, DOE calculated capital conversion costs (under both capital conversion costs scenarios, Table VI.1) and product conversion costs (Table VI.2) for an average small manufacturer versus an average large manufacturer. To provide context, DOE presents the conversion costs relative to annual revenue and annual operating profit under the standard level for the two capital conversion cost scenarios considered in the MIA, as shown in Table VI.3 and Table VI.4. The current annual revenue and annual operating profit estimates are derived from the GRIM's industry revenue calculations and the market share breakdowns of small versus large manufacturers. Due to the lack of direct market share data for individual manufacturers, DOE used basic model counts as a percent of total basic models currently available on the market as a proxy for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VI.1--Comparison of Typical Small and Large Manufacturer's Capital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Sourced components capital</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Fabricated components capital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scenario</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large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small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large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Capital conversion costs are the capital investments made during the 3-year period between the publication of the final rule and the first year of compliance with the amended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VI.2--Comparison of Typical Small and Large Manufacturer's Product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small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typical large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4a</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Product conversion costs are the R&amp;D and other product development investments made during the 3-year period between the publication of the final rule and the first year of compliance with the amended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VI.3--Comparison of Conversion Costs for an Average Small and an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Large Manufacturer at TSL 3--Sourced Components Capital Conversion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(2014$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(2014$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conversion period, the time between the final rule publication year and the first year of compliance for this rulemaking, is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VI.4--Comparison of Conversion Costs for an Average Small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an Average Large Manufacturer at TSL 3--Fabricated Components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 Conversion Costs Scenario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(2014$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(2014$</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revenue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profit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conversion period, the time between the final rule publication year and the first year of compliance for this rulemaking, is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established standard level, depending on the capital conversion cost scenario, DOE estimates total conversion costs for an average small manufacturer to range from $ 30,000 to $ 50,000 for the Sourced Components Capital Conversion Costs scenario and the Fabricated Components Capital Conversion Costs scenario, respectively. This suggests that an average small manufacturer would need to reinvest roughly 39 percent to 70 percent of its operating profit per year over the conversion period to comply with standards. Depending on the capital conversion cost scenario, the total conversion costs for an average large manufacturer range from $ 16,000 to $ 19,000 for the Sourced Components Capital Conversion Costs scenario and the Fabricated Components Capital Conversion Costs scenario, respectively. This suggests that an average large manufacturer would need to reinvest </w:t>
      </w:r>
      <w:r>
        <w:rPr>
          <w:rFonts w:ascii="arial" w:eastAsia="arial" w:hAnsi="arial" w:cs="arial"/>
          <w:b/>
          <w:i w:val="0"/>
          <w:strike w:val="0"/>
          <w:noProof w:val="0"/>
          <w:color w:val="000000"/>
          <w:position w:val="0"/>
          <w:sz w:val="20"/>
          <w:u w:val="none"/>
          <w:vertAlign w:val="baseline"/>
        </w:rPr>
        <w:t> [*4799] </w:t>
      </w:r>
      <w:r>
        <w:rPr>
          <w:rFonts w:ascii="arial" w:eastAsia="arial" w:hAnsi="arial" w:cs="arial"/>
          <w:b w:val="0"/>
          <w:i w:val="0"/>
          <w:strike w:val="0"/>
          <w:noProof w:val="0"/>
          <w:color w:val="000000"/>
          <w:position w:val="0"/>
          <w:sz w:val="20"/>
          <w:u w:val="none"/>
          <w:vertAlign w:val="baseline"/>
        </w:rPr>
        <w:t xml:space="preserve"> roughly 47 percent to 58 percent of its commercial prerinse spray valve-related operating profit per year over the 3-year conversion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Steps To Minimize Impacts to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final rule, represented by TSL 3. In reviewing alternatives to the final rule, DOE examined energy conservation standards set at both higher and lower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TSL 4, DOE estimated that while there would be significant consumer benefits from the projected energy savings of 0.18 quads of energy and 208.06 billion gallons of water (ranging from $ 1.25 billion using a 7-percent discount rate to $ 2.57 billion using a 3-percent discount rate), along with emissions reductions and positive LCC savings, the standards could result in an INPV reduction of $ 2.4 million to $ 1.5 million. DOE determined that this INPV reduction would outweigh the potential benefits. (See also the description of DOE's sensitivity case of TSL4a in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TSL 1 and TSL 2, EPCA requires DOE to establish standards at the level that would achieve the maximum improvement in energy efficiency that is technologically feasible and economically justified. Based on its analysis, DOE concluded that TSL 3 achieves the maximum improvement in energy efficiency that is technologically feasible and economically justified. Therefore, DOE did not establish standards at the levels considered at TSL 1 and TSL 2 because DOE determined that higher levels were technologically feasible and economically justified. DOE's analysis also shows that TSL 1 and TSL 2 would not reduce the impacts on small business manufacturers because there are more products that require redesign at TSL 1 and TSL 2 than at TSL 3. Therefore, TSL 3 results in lower impacts on small businesses than TSL 1 and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concluded that establishing standards at TSL 3 balances the benefits of the energy savings and the NPV benefits to consumers at TSL 3 with the potential burdens placed on manufacturers, including small business manufacturers. Accordingly, DOE is declining to adopt the other TSLs considered in the analysis, or the other policy alternatives detailed as part of the regulatory impacts analysis included in chapter 17 of the final rule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w:t>
      </w:r>
      <w:hyperlink r:id="rId71"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72"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commercial prerinse spray valves must certify to DOE that their products comply with any applicable energy conservation standards. In certifying compliance, manufacturers must test their products according to the DOE test procedures for commercial prerinse spray valves,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commercial prerinse spray valves. </w:t>
      </w:r>
      <w:hyperlink r:id="rId73"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 of 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rule fits within the category of actions included in Categorical Exclusion (CX) B5.1 and otherwise meets the requirements for application of a CX.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CFR part 1021, appendix B, B5.1(b); § 1021.410(b) and appendix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74"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75"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6"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w:t>
      </w:r>
      <w:r>
        <w:rPr>
          <w:rFonts w:ascii="arial" w:eastAsia="arial" w:hAnsi="arial" w:cs="arial"/>
          <w:b/>
          <w:i w:val="0"/>
          <w:strike w:val="0"/>
          <w:noProof w:val="0"/>
          <w:color w:val="000000"/>
          <w:position w:val="0"/>
          <w:sz w:val="20"/>
          <w:u w:val="none"/>
          <w:vertAlign w:val="baseline"/>
        </w:rPr>
        <w:t> [*4800] </w:t>
      </w:r>
      <w:r>
        <w:rPr>
          <w:rFonts w:ascii="arial" w:eastAsia="arial" w:hAnsi="arial" w:cs="arial"/>
          <w:b w:val="0"/>
          <w:i w:val="0"/>
          <w:strike w:val="0"/>
          <w:noProof w:val="0"/>
          <w:color w:val="000000"/>
          <w:position w:val="0"/>
          <w:sz w:val="20"/>
          <w:u w:val="none"/>
          <w:vertAlign w:val="baseline"/>
        </w:rPr>
        <w:t xml:space="preserv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77"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78"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9"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80"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1"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final rule will not require expenditures of $ 100 million or more in any one year in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79"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final rule TSD chapter 17, the "Regulatory Impact Analysis,"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82"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8"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(dd), this final rule would establish amended energy conservation standards for commercial prerinse spray valves that are designed to achieve the maximum improvement in energy efficiency that DOE has determined to be both technologically feasible and economically justified. A full discussion of the alternatives considered by DOE is presented in chapter 17 of the final rule TSD,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3"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84"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85"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86"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7"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concluded that this regulatory action, which sets forth amended energy conservation standards for commercial prerinse spray valves, is not a significant energy action because the standards are not likely to have a significant adverse effect on the supply, distribution, or use of energy, nor has it </w:t>
      </w:r>
      <w:r>
        <w:rPr>
          <w:rFonts w:ascii="arial" w:eastAsia="arial" w:hAnsi="arial" w:cs="arial"/>
          <w:b/>
          <w:i w:val="0"/>
          <w:strike w:val="0"/>
          <w:noProof w:val="0"/>
          <w:color w:val="000000"/>
          <w:position w:val="0"/>
          <w:sz w:val="20"/>
          <w:u w:val="none"/>
          <w:vertAlign w:val="baseline"/>
        </w:rPr>
        <w:t> [*4801] </w:t>
      </w:r>
      <w:r>
        <w:rPr>
          <w:rFonts w:ascii="arial" w:eastAsia="arial" w:hAnsi="arial" w:cs="arial"/>
          <w:b w:val="0"/>
          <w:i w:val="0"/>
          <w:strike w:val="0"/>
          <w:noProof w:val="0"/>
          <w:color w:val="000000"/>
          <w:position w:val="0"/>
          <w:sz w:val="20"/>
          <w:u w:val="none"/>
          <w:vertAlign w:val="baseline"/>
        </w:rPr>
        <w:t xml:space="preserve">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not a "major rule" as defined by </w:t>
      </w:r>
      <w:hyperlink r:id="rId8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test procedures, Incorporation by reference,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29,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J.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DOE amends parts 429 and 431 of chapter II of title 10,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7"/>
        </w:numPr>
        <w:spacing w:before="120" w:line="240" w:lineRule="atLeast"/>
      </w:pPr>
      <w:r>
        <w:rPr>
          <w:b/>
          <w:i w:val="0"/>
          <w:sz w:val="20"/>
        </w:rPr>
        <w:t>LIANCE, AND ENFORCEMENT FOR CONSUMER PRODUCTS AND COMMERCIAL AND INDUSTRIAL EQUIPMENT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429.51(b) is revised to read as follows:</w:t>
      </w:r>
    </w:p>
    <w:p>
      <w:pPr>
        <w:numPr>
          <w:numId w:val="9"/>
        </w:numPr>
        <w:spacing w:before="120" w:line="240" w:lineRule="atLeast"/>
      </w:pPr>
      <w:r>
        <w:rPr>
          <w:b/>
          <w:i w:val="0"/>
          <w:sz w:val="20"/>
        </w:rPr>
        <w:t>spray valves.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commercial prerinse spray valves;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public product-specific information: The flow rate, in gallons per minute (gpm), rounded to the nearest 0.01 gpm, and the corresponding spray force, in ounce-force (ozf), rounded to the nearest 0.1 ozf.</w:t>
      </w:r>
    </w:p>
    <w:p>
      <w:pPr>
        <w:numPr>
          <w:numId w:val="12"/>
        </w:numPr>
        <w:spacing w:before="120" w:line="240" w:lineRule="atLeast"/>
      </w:pPr>
      <w:r>
        <w:rPr>
          <w:b/>
          <w:i w:val="0"/>
          <w:sz w:val="20"/>
        </w:rPr>
        <w:t>ROGRAM FOR CERTAIN COMMERCIAL AND INDUSTRIAL EQUIPMENT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8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431.266 is revised to read as follows:</w:t>
      </w:r>
    </w:p>
    <w:p>
      <w:pPr>
        <w:numPr>
          <w:numId w:val="14"/>
        </w:numPr>
        <w:spacing w:before="120" w:line="240" w:lineRule="atLeast"/>
      </w:pPr>
      <w:r>
        <w:rPr>
          <w:b/>
          <w:i w:val="0"/>
          <w:sz w:val="20"/>
        </w:rPr>
        <w:t>standards and their effective dates.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Commercial prerinse spray valves manufactured on or after January 1, 2006 and before January 28, 2019, shall have a flow rate of not more than 1.6 gallons per minute. For the purposes of this standard, a </w:t>
      </w:r>
      <w:r>
        <w:rPr>
          <w:rFonts w:ascii="arial" w:eastAsia="arial" w:hAnsi="arial" w:cs="arial"/>
          <w:b w:val="0"/>
          <w:i/>
          <w:strike w:val="0"/>
          <w:noProof w:val="0"/>
          <w:color w:val="000000"/>
          <w:position w:val="0"/>
          <w:sz w:val="20"/>
          <w:u w:val="none"/>
          <w:vertAlign w:val="baseline"/>
        </w:rPr>
        <w:t>commercial prerinse spray valve</w:t>
      </w:r>
      <w:r>
        <w:rPr>
          <w:rFonts w:ascii="arial" w:eastAsia="arial" w:hAnsi="arial" w:cs="arial"/>
          <w:b w:val="0"/>
          <w:i w:val="0"/>
          <w:strike w:val="0"/>
          <w:noProof w:val="0"/>
          <w:color w:val="000000"/>
          <w:position w:val="0"/>
          <w:sz w:val="20"/>
          <w:u w:val="none"/>
          <w:vertAlign w:val="baseline"/>
        </w:rPr>
        <w:t xml:space="preserve"> is a handheld device designed and marketed for use with commercial dishwashing and ware washing equipment that sprays water on dishes, flatware, and other food service items for the purpose of removing food residue before cleaning the items.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prerinse spray valves manufactured on or after January 28, 2019 shall have a flow rate that does not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(spray force in</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(gallons per</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ounce-force, ozf)</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minute, gpm)</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Class 1 (&lt;/= 5.0 ozf)</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Class 2 (&gt;5.0 ozf and &lt;/= 8.0 ozf)</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Class 3 (&gt;8.0 ozf)</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w:t>
            </w:r>
          </w:p>
        </w:tc>
      </w:tr>
    </w:tbl>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purposes of this standard, the definition of </w:t>
      </w:r>
      <w:r>
        <w:rPr>
          <w:rFonts w:ascii="arial" w:eastAsia="arial" w:hAnsi="arial" w:cs="arial"/>
          <w:b w:val="0"/>
          <w:i/>
          <w:strike w:val="0"/>
          <w:noProof w:val="0"/>
          <w:color w:val="000000"/>
          <w:position w:val="0"/>
          <w:sz w:val="20"/>
          <w:u w:val="none"/>
          <w:vertAlign w:val="baseline"/>
        </w:rPr>
        <w:t>commercial prerinse spray valve</w:t>
      </w:r>
      <w:r>
        <w:rPr>
          <w:rFonts w:ascii="arial" w:eastAsia="arial" w:hAnsi="arial" w:cs="arial"/>
          <w:b w:val="0"/>
          <w:i w:val="0"/>
          <w:strike w:val="0"/>
          <w:noProof w:val="0"/>
          <w:color w:val="000000"/>
          <w:position w:val="0"/>
          <w:sz w:val="20"/>
          <w:u w:val="none"/>
          <w:vertAlign w:val="baseline"/>
        </w:rPr>
        <w:t xml:space="preserve"> in § 431.262 applies.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120" w:after="0" w:line="260" w:lineRule="atLeast"/>
        <w:ind w:left="216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RFK Main Justice Building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950 Pennsylvania Ave. NW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(202) 514-2401/(202) 616-2645 (Fax)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September 4,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Anne Harkavy, Esq.</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Deputy General Counsel for Litigation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1000 Independence Ave. SW.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U.S. Department of Energy Washington, DC 20585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 Energy Conservation Standards for Commercial Prerinse Spray Valves Doc. No. EERE-2014-BT-STD-0027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 am responding to your July 9, 2015,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standards for commercial prerinse spray valves.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Your request was submitted under Section 325(o)(2)(B)(i)(V) of the Energy Policy and Conservation Act, as amended (ECPA), </w:t>
      </w:r>
      <w:hyperlink r:id="rId8"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required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90"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conducting our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w:t>
      </w:r>
      <w:r>
        <w:rPr>
          <w:rFonts w:ascii="arial" w:eastAsia="arial" w:hAnsi="arial" w:cs="arial"/>
          <w:b/>
          <w:i w:val="0"/>
          <w:strike w:val="0"/>
          <w:noProof w:val="0"/>
          <w:color w:val="000000"/>
          <w:position w:val="0"/>
          <w:sz w:val="20"/>
          <w:u w:val="none"/>
          <w:vertAlign w:val="baseline"/>
        </w:rPr>
        <w:t> [*4802] </w:t>
      </w:r>
      <w:r>
        <w:rPr>
          <w:rFonts w:ascii="arial" w:eastAsia="arial" w:hAnsi="arial" w:cs="arial"/>
          <w:b w:val="0"/>
          <w:i w:val="0"/>
          <w:strike w:val="0"/>
          <w:noProof w:val="0"/>
          <w:color w:val="000000"/>
          <w:position w:val="0"/>
          <w:sz w:val="20"/>
          <w:u w:val="none"/>
          <w:vertAlign w:val="baseline"/>
        </w:rPr>
        <w:t xml:space="preserve">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19" w:history="1">
        <w:r>
          <w:rPr>
            <w:rFonts w:ascii="arial" w:eastAsia="arial" w:hAnsi="arial" w:cs="arial"/>
            <w:b w:val="0"/>
            <w:i/>
            <w:strike w:val="0"/>
            <w:noProof w:val="0"/>
            <w:color w:val="0077CC"/>
            <w:position w:val="0"/>
            <w:sz w:val="20"/>
            <w:u w:val="single"/>
            <w:vertAlign w:val="baseline"/>
          </w:rPr>
          <w:t>(80 FR 39,486-39,539,</w:t>
        </w:r>
      </w:hyperlink>
      <w:r>
        <w:rPr>
          <w:rFonts w:ascii="arial" w:eastAsia="arial" w:hAnsi="arial" w:cs="arial"/>
          <w:b w:val="0"/>
          <w:i w:val="0"/>
          <w:strike w:val="0"/>
          <w:noProof w:val="0"/>
          <w:color w:val="000000"/>
          <w:position w:val="0"/>
          <w:sz w:val="20"/>
          <w:u w:val="none"/>
          <w:vertAlign w:val="baseline"/>
        </w:rPr>
        <w:t xml:space="preserve"> July 9, 2015) and the related Technical Support Documents. We have also listened to, and reviewed materials from, the public meeting held on July 28, 2015. Further, we have talked to various industry representatives to determine their position regarding the proposed standards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this review, our conclusion is that the proposed energy conservation standards for commercial prerinse spray valves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2016-00068 Filed 1-26-16;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of this rule is March 28, 2016. Compliance with the amended standards established for commercial prerinse spray valves in this final rule is required on and after January 28, 2019.</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www1.eere.energy.gov/buildings/appliance_standards/rulemaking.aspx?ruleid=100</w:t>
      </w:r>
      <w:r>
        <w:rPr>
          <w:rFonts w:ascii="arial" w:eastAsia="arial" w:hAnsi="arial" w:cs="arial"/>
          <w:b w:val="0"/>
          <w:i w:val="0"/>
          <w:strike w:val="0"/>
          <w:noProof w:val="0"/>
          <w:color w:val="000000"/>
          <w:position w:val="0"/>
          <w:sz w:val="20"/>
          <w:u w:val="none"/>
          <w:vertAlign w:val="baseline"/>
        </w:rPr>
        <w:t xml:space="preserve">. The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91"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James Raba, U.S. Department of Energy, Office of Energy Efficiency and Renewable Energy, Building Technologies Office, EE-5B, 1000 Independence Avenue SW., Washington, DC 20585-0121. Telephone: (202) 586-8654. Email: </w:t>
      </w:r>
      <w:hyperlink r:id="rId92" w:history="1">
        <w:r>
          <w:rPr>
            <w:rFonts w:ascii="arial" w:eastAsia="arial" w:hAnsi="arial" w:cs="arial"/>
            <w:b w:val="0"/>
            <w:i/>
            <w:strike w:val="0"/>
            <w:noProof w:val="0"/>
            <w:color w:val="0077CC"/>
            <w:position w:val="0"/>
            <w:sz w:val="20"/>
            <w:u w:val="single"/>
            <w:vertAlign w:val="baseline"/>
          </w:rPr>
          <w:t>commercial_pre-rinse_spray_valves@ee.doe.gov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Peter Cochran, U.S. Department of Energy, Office of the General Counsel, GC-33, 1000 Independence Avenue SW., Washington, DC 20585-0121. Telephone: (202) 586-9496. Email: </w:t>
      </w:r>
      <w:hyperlink r:id="rId93" w:history="1">
        <w:r>
          <w:rPr>
            <w:rFonts w:ascii="arial" w:eastAsia="arial" w:hAnsi="arial" w:cs="arial"/>
            <w:b w:val="0"/>
            <w:i/>
            <w:strike w:val="0"/>
            <w:noProof w:val="0"/>
            <w:color w:val="0077CC"/>
            <w:position w:val="0"/>
            <w:sz w:val="20"/>
            <w:u w:val="single"/>
            <w:vertAlign w:val="baseline"/>
          </w:rPr>
          <w:t>Peter.Cochran@hq.doe.gov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4748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429.51 Commercial pre-rin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431.266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3.epa.gov/ttnecas1/regdata/RIAs/111dproposalRIAfinal0602.pdf" TargetMode="External" /><Relationship Id="rId11" Type="http://schemas.openxmlformats.org/officeDocument/2006/relationships/hyperlink" Target="https://advance.lexis.com/api/document?collection=statutes-legislation&amp;id=urn:contentItem:4YF7-GMB1-NRF4-435V-00000-00&amp;context=" TargetMode="External" /><Relationship Id="rId12" Type="http://schemas.openxmlformats.org/officeDocument/2006/relationships/hyperlink" Target="https://advance.lexis.com/api/document?collection=statutes-legislation&amp;id=urn:contentItem:4YF7-GT11-NRF4-4304-00000-00&amp;context=" TargetMode="External" /><Relationship Id="rId13" Type="http://schemas.openxmlformats.org/officeDocument/2006/relationships/hyperlink" Target="https://advance.lexis.com/api/document?collection=statutes-legislation&amp;id=urn:contentItem:4YF7-GK61-NRF4-42MR-00000-00&amp;context=" TargetMode="External" /><Relationship Id="rId14" Type="http://schemas.openxmlformats.org/officeDocument/2006/relationships/hyperlink" Target="http://energy.gov/sites/prod/files/2015/12/f27/CPSV%20TP%20Final%20Rule.pdf" TargetMode="External" /><Relationship Id="rId15" Type="http://schemas.openxmlformats.org/officeDocument/2006/relationships/hyperlink" Target="http://www.regulations.gov" TargetMode="External" /><Relationship Id="rId16" Type="http://schemas.openxmlformats.org/officeDocument/2006/relationships/hyperlink" Target="https://advance.lexis.com/api/document?collection=statutes-legislation&amp;id=urn:contentItem:4YF7-GVX1-NRF4-40GF-00000-00&amp;context=" TargetMode="External" /><Relationship Id="rId17" Type="http://schemas.openxmlformats.org/officeDocument/2006/relationships/hyperlink" Target="https://advance.lexis.com/api/document?collection=administrative-codes&amp;id=urn:contentItem:4HBY-PT50-006W-81G4-00000-00&amp;context=" TargetMode="External" /><Relationship Id="rId18" Type="http://schemas.openxmlformats.org/officeDocument/2006/relationships/hyperlink" Target="https://advance.lexis.com/api/document?collection=administrative-codes&amp;id=urn:contentItem:5D41-YDS0-006W-838H-00000-00&amp;context=" TargetMode="External" /><Relationship Id="rId19" Type="http://schemas.openxmlformats.org/officeDocument/2006/relationships/hyperlink" Target="https://advance.lexis.com/api/document?collection=administrative-codes&amp;id=urn:contentItem:5GD7-DTC0-006W-84P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HDS-RNF0-006W-83GP-00000-00&amp;context=" TargetMode="External" /><Relationship Id="rId21" Type="http://schemas.openxmlformats.org/officeDocument/2006/relationships/hyperlink" Target="https://advance.lexis.com/api/document?collection=administrative-codes&amp;id=urn:contentItem:5HC3-7YP0-006W-82K5-00000-00&amp;context=" TargetMode="External" /><Relationship Id="rId22" Type="http://schemas.openxmlformats.org/officeDocument/2006/relationships/hyperlink" Target="https://advance.lexis.com/api/document?collection=statutes-legislation&amp;id=urn:contentItem:4YF7-GN51-NRF4-412F-00000-00&amp;context=" TargetMode="External" /><Relationship Id="rId23" Type="http://schemas.openxmlformats.org/officeDocument/2006/relationships/hyperlink" Target="https://advance.lexis.com/api/document?collection=administrative-codes&amp;id=urn:contentItem:5PWY-CX40-008G-Y29T-00000-00&amp;context=" TargetMode="External" /><Relationship Id="rId24" Type="http://schemas.openxmlformats.org/officeDocument/2006/relationships/hyperlink" Target="https://advance.lexis.com/api/document?collection=administrative-codes&amp;id=urn:contentItem:4MHP-17K0-006W-81C6-00000-00&amp;context=" TargetMode="External" /><Relationship Id="rId25" Type="http://schemas.openxmlformats.org/officeDocument/2006/relationships/hyperlink" Target="https://advance.lexis.com/api/document?collection=administrative-codes&amp;id=urn:contentItem:59N4-TDP0-006W-844C-00000-00&amp;context=" TargetMode="External" /><Relationship Id="rId26" Type="http://schemas.openxmlformats.org/officeDocument/2006/relationships/hyperlink" Target="http://www.epa.gov/watersense/partners/prsv_final.html" TargetMode="External" /><Relationship Id="rId27" Type="http://schemas.openxmlformats.org/officeDocument/2006/relationships/hyperlink" Target="https://advance.lexis.com/api/document?collection=administrative-codes&amp;id=urn:contentItem:5G8T-JMS0-006W-82NY-00000-00&amp;context="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7B0-0039-P2W6-00000-00&amp;context=" TargetMode="External" /><Relationship Id="rId31" Type="http://schemas.openxmlformats.org/officeDocument/2006/relationships/hyperlink" Target="https://www1.eere.energy.gov/buildings/appliance_standards/rulemaking.aspx?ruleid=100" TargetMode="External" /><Relationship Id="rId32" Type="http://schemas.openxmlformats.org/officeDocument/2006/relationships/hyperlink" Target="https://www.eia.gov/forecasts/aeo/info_nems_archive.cfm" TargetMode="External" /><Relationship Id="rId33" Type="http://schemas.openxmlformats.org/officeDocument/2006/relationships/hyperlink" Target="https://advance.lexis.com/api/document?collection=administrative-codes&amp;id=urn:contentItem:5PWY-CWY0-008G-Y12K-00000-00&amp;context=" TargetMode="External" /><Relationship Id="rId34" Type="http://schemas.openxmlformats.org/officeDocument/2006/relationships/hyperlink" Target="http://www.regulations.doe.gov/certification-data/" TargetMode="External" /><Relationship Id="rId35" Type="http://schemas.openxmlformats.org/officeDocument/2006/relationships/hyperlink" Target="http://www.epa.gov/watersense/product_search.html" TargetMode="External" /><Relationship Id="rId36" Type="http://schemas.openxmlformats.org/officeDocument/2006/relationships/hyperlink" Target="http://www.epa.gov/watersense/docs/final_epa_prsv_study_report_033111v2_508.pdf" TargetMode="External" /><Relationship Id="rId37" Type="http://schemas.openxmlformats.org/officeDocument/2006/relationships/hyperlink" Target="http://www.eia.gov/consumption/commercial/data/2003/index.cfm" TargetMode="External" /><Relationship Id="rId38" Type="http://schemas.openxmlformats.org/officeDocument/2006/relationships/hyperlink" Target="http://www.dol.gov/whd/minimumwage.htm" TargetMode="External" /><Relationship Id="rId39" Type="http://schemas.openxmlformats.org/officeDocument/2006/relationships/hyperlink" Target="http://www.eia.gov/electricity/data/eia826/" TargetMode="External" /><Relationship Id="rId4" Type="http://schemas.openxmlformats.org/officeDocument/2006/relationships/header" Target="header1.xml" /><Relationship Id="rId40" Type="http://schemas.openxmlformats.org/officeDocument/2006/relationships/hyperlink" Target="http://www.awwa.org/resources-tools/water-and-wastewater-utility-management/water-wastewater-rates.aspx" TargetMode="External" /><Relationship Id="rId41" Type="http://schemas.openxmlformats.org/officeDocument/2006/relationships/hyperlink" Target="http://www.bls.gov/cpi/cpid1401.pdf" TargetMode="External" /><Relationship Id="rId42" Type="http://schemas.openxmlformats.org/officeDocument/2006/relationships/hyperlink" Target="http://www.fishnick.com/equipment/sprayvalves/" TargetMode="External" /><Relationship Id="rId43" Type="http://schemas.openxmlformats.org/officeDocument/2006/relationships/hyperlink" Target="http://www.epa.gov/watersense/partners/prsv_background.html#study" TargetMode="External" /><Relationship Id="rId44" Type="http://schemas.openxmlformats.org/officeDocument/2006/relationships/hyperlink" Target="http://www.allianceforwaterefficiency.org/Commercial_Food_Service_Introduction.aspx" TargetMode="External" /><Relationship Id="rId45" Type="http://schemas.openxmlformats.org/officeDocument/2006/relationships/hyperlink" Target="https://www.eia.gov/forecasts/aeo/nems/overview/pdf/0581" TargetMode="External" /><Relationship Id="rId46" Type="http://schemas.openxmlformats.org/officeDocument/2006/relationships/hyperlink" Target="http://www.energy.gov/sites/prod/files/2014/06/f16/Water%20Energy%20Nexus%20Report%20June%202014.pdf" TargetMode="External" /><Relationship Id="rId47" Type="http://schemas.openxmlformats.org/officeDocument/2006/relationships/hyperlink" Target="http://www.whitehouse.gov/omb/memoranda/m03-21.html" TargetMode="External" /><Relationship Id="rId48" Type="http://schemas.openxmlformats.org/officeDocument/2006/relationships/hyperlink" Target="http://www.sec.gov/edgar.shtml" TargetMode="External" /><Relationship Id="rId49" Type="http://schemas.openxmlformats.org/officeDocument/2006/relationships/hyperlink" Target="http://www.standardandpoors.com" TargetMode="External" /><Relationship Id="rId5" Type="http://schemas.openxmlformats.org/officeDocument/2006/relationships/footer" Target="footer1.xml" /><Relationship Id="rId50" Type="http://schemas.openxmlformats.org/officeDocument/2006/relationships/hyperlink" Target="http://www.epa.gov/climateleadership/inventory/ghg-emissions.html" TargetMode="External" /><Relationship Id="rId51" Type="http://schemas.openxmlformats.org/officeDocument/2006/relationships/hyperlink" Target="https://advance.lexis.com/api/document?collection=statutes-legislation&amp;id=urn:contentItem:4YF7-GTF1-NRF4-41X8-00000-00&amp;context=" TargetMode="External" /><Relationship Id="rId52" Type="http://schemas.openxmlformats.org/officeDocument/2006/relationships/hyperlink" Target="https://advance.lexis.com/api/document?collection=administrative-codes&amp;id=urn:contentItem:4G52-NHY0-006W-84D2-00000-00&amp;context=" TargetMode="External" /><Relationship Id="rId53" Type="http://schemas.openxmlformats.org/officeDocument/2006/relationships/hyperlink" Target="https://advance.lexis.com/api/document?collection=administrative-codes&amp;id=urn:contentItem:53H3-3P50-006W-84F8-00000-00&amp;context=" TargetMode="External" /><Relationship Id="rId54" Type="http://schemas.openxmlformats.org/officeDocument/2006/relationships/hyperlink" Target="https://advance.lexis.com/api/document?collection=cases&amp;id=urn:contentItem:4V71-YP60-TXFX-H3BH-00000-00&amp;context=" TargetMode="External" /><Relationship Id="rId55" Type="http://schemas.openxmlformats.org/officeDocument/2006/relationships/hyperlink" Target="https://advance.lexis.com/api/document?collection=cases&amp;id=urn:contentItem:4SYR-B9W0-TX4N-G02V-00000-00&amp;context=" TargetMode="External" /><Relationship Id="rId56" Type="http://schemas.openxmlformats.org/officeDocument/2006/relationships/hyperlink" Target="https://advance.lexis.com/api/document?collection=cases&amp;id=urn:contentItem:56CW-VP91-F04K-Y15Y-00000-00&amp;context=" TargetMode="External" /><Relationship Id="rId57" Type="http://schemas.openxmlformats.org/officeDocument/2006/relationships/hyperlink" Target="https://advance.lexis.com/api/document?collection=cases&amp;id=urn:contentItem:5C37-VGX1-F04K-F0PF-00000-00&amp;context=" TargetMode="External" /><Relationship Id="rId58" Type="http://schemas.openxmlformats.org/officeDocument/2006/relationships/hyperlink" Target="https://advance.lexis.com/api/document?collection=administrative-codes&amp;id=urn:contentItem:5501-3JN0-006W-80CY-00000-00&amp;context=" TargetMode="External" /><Relationship Id="rId59" Type="http://schemas.openxmlformats.org/officeDocument/2006/relationships/hyperlink" Target="https://advance.lexis.com/api/document?collection=administrative-codes&amp;id=urn:contentItem:3SHH-HT50-006W-918M-00000-00&amp;context=" TargetMode="External" /><Relationship Id="rId6" Type="http://schemas.openxmlformats.org/officeDocument/2006/relationships/footer" Target="footer2.xml" /><Relationship Id="rId60" Type="http://schemas.openxmlformats.org/officeDocument/2006/relationships/hyperlink" Target="https://www.whitehouse.gov/blog/2015/07/02/estimating-benefits-carbon-dioxide-emissions-reductions" TargetMode="External" /><Relationship Id="rId61" Type="http://schemas.openxmlformats.org/officeDocument/2006/relationships/hyperlink" Target="http://www.whitehouse.gov/sites/default/files/omb/inforeg/for-agencies/Social-Cost-of-Carbon-for-RIA.pdf" TargetMode="External" /><Relationship Id="rId62" Type="http://schemas.openxmlformats.org/officeDocument/2006/relationships/hyperlink" Target="mailto:dipsweb@bls.gov" TargetMode="External" /><Relationship Id="rId63" Type="http://schemas.openxmlformats.org/officeDocument/2006/relationships/hyperlink" Target="http://www.census.gov/manufacturing/asm/historical_data/index.html" TargetMode="External" /><Relationship Id="rId64" Type="http://schemas.openxmlformats.org/officeDocument/2006/relationships/hyperlink" Target="http://www.whitehouse.gov/omb/circulars_a004_a-4/" TargetMode="External" /><Relationship Id="rId65" Type="http://schemas.openxmlformats.org/officeDocument/2006/relationships/hyperlink" Target="https://www1.eere.energy.gov/buildings/appliance_standards/pdfs/consumer_ee_theory.pdf" TargetMode="External" /><Relationship Id="rId66" Type="http://schemas.openxmlformats.org/officeDocument/2006/relationships/hyperlink" Target="https://advance.lexis.com/api/document?collection=administrative-codes&amp;id=urn:contentItem:5206-DWC0-006W-80M2-00000-00&amp;context=" TargetMode="External" /><Relationship Id="rId67" Type="http://schemas.openxmlformats.org/officeDocument/2006/relationships/hyperlink" Target="https://advance.lexis.com/api/document?collection=administrative-codes&amp;id=urn:contentItem:46HT-RP60-006W-84SH-00000-00&amp;context=" TargetMode="External" /><Relationship Id="rId68" Type="http://schemas.openxmlformats.org/officeDocument/2006/relationships/hyperlink" Target="https://advance.lexis.com/api/document?collection=administrative-codes&amp;id=urn:contentItem:47YP-2TJ0-006W-845X-00000-00&amp;context=" TargetMode="External" /><Relationship Id="rId69" Type="http://schemas.openxmlformats.org/officeDocument/2006/relationships/hyperlink" Target="http://energy.gov/gc/office-general-counsel" TargetMode="External" /><Relationship Id="rId7" Type="http://schemas.openxmlformats.org/officeDocument/2006/relationships/hyperlink" Target="https://advance.lexis.com/api/document?collection=administrative-codes&amp;id=urn:contentItem:5HY9-5300-006W-8533-00000-00&amp;context=" TargetMode="External" /><Relationship Id="rId70" Type="http://schemas.openxmlformats.org/officeDocument/2006/relationships/hyperlink" Target="http://www.sba.gov/sites/default/files/files/Size_Standards_Table.pdf" TargetMode="External" /><Relationship Id="rId71" Type="http://schemas.openxmlformats.org/officeDocument/2006/relationships/hyperlink" Target="https://advance.lexis.com/api/document?collection=administrative-codes&amp;id=urn:contentItem:5PWY-CWY0-008G-Y132-00000-00&amp;context=" TargetMode="External" /><Relationship Id="rId72" Type="http://schemas.openxmlformats.org/officeDocument/2006/relationships/hyperlink" Target="https://advance.lexis.com/api/document?collection=statutes-legislation&amp;id=urn:contentItem:4YF7-GKB1-NRF4-44FT-00000-00&amp;context=" TargetMode="External" /><Relationship Id="rId73" Type="http://schemas.openxmlformats.org/officeDocument/2006/relationships/hyperlink" Target="https://advance.lexis.com/api/document?collection=administrative-codes&amp;id=urn:contentItem:52B7-3BW0-006W-80MT-00000-00&amp;context=" TargetMode="External" /><Relationship Id="rId74" Type="http://schemas.openxmlformats.org/officeDocument/2006/relationships/hyperlink" Target="http://cxnepa.energy.gov/" TargetMode="External" /><Relationship Id="rId75" Type="http://schemas.openxmlformats.org/officeDocument/2006/relationships/hyperlink" Target="https://advance.lexis.com/api/document?collection=administrative-codes&amp;id=urn:contentItem:3X4V-NKX0-006W-833G-00000-00&amp;context=" TargetMode="External" /><Relationship Id="rId76" Type="http://schemas.openxmlformats.org/officeDocument/2006/relationships/hyperlink" Target="https://advance.lexis.com/api/document?collection=administrative-codes&amp;id=urn:contentItem:3YT4-BSC0-006W-82KB-00000-00&amp;context=" TargetMode="External" /><Relationship Id="rId77" Type="http://schemas.openxmlformats.org/officeDocument/2006/relationships/hyperlink" Target="https://advance.lexis.com/api/document?collection=administrative-codes&amp;id=urn:contentItem:3SHC-1750-006W-9026-00000-00&amp;context=" TargetMode="External" /><Relationship Id="rId78" Type="http://schemas.openxmlformats.org/officeDocument/2006/relationships/hyperlink" Target="https://advance.lexis.com/api/document?collection=statutes-legislation&amp;id=urn:contentItem:4YF7-GVH1-NRF4-42C8-00000-00&amp;context=" TargetMode="External" /><Relationship Id="rId79" Type="http://schemas.openxmlformats.org/officeDocument/2006/relationships/hyperlink" Target="https://advance.lexis.com/api/document?collection=statutes-legislation&amp;id=urn:contentItem:4YF7-GWP1-NRF4-4368-00000-00&amp;context=" TargetMode="External" /><Relationship Id="rId8" Type="http://schemas.openxmlformats.org/officeDocument/2006/relationships/hyperlink" Target="https://advance.lexis.com/api/document?collection=statutes-legislation&amp;id=urn:contentItem:4YF7-GR61-NRF4-40BK-00000-00&amp;context=" TargetMode="External" /><Relationship Id="rId80" Type="http://schemas.openxmlformats.org/officeDocument/2006/relationships/hyperlink" Target="https://advance.lexis.com/api/document?collection=administrative-codes&amp;id=urn:contentItem:3SHB-TTS0-006W-9045-00000-00&amp;context=" TargetMode="External" /><Relationship Id="rId81" Type="http://schemas.openxmlformats.org/officeDocument/2006/relationships/hyperlink" Target="http://energy.gov/sites/prod/files/gcprod/documents/umra_97.pdf" TargetMode="External" /><Relationship Id="rId82" Type="http://schemas.openxmlformats.org/officeDocument/2006/relationships/hyperlink" Target="https://advance.lexis.com/api/document?collection=statutes-legislation&amp;id=urn:contentItem:4YF7-GSR1-NRF4-4023-00000-00&amp;context=" TargetMode="External" /><Relationship Id="rId83" Type="http://schemas.openxmlformats.org/officeDocument/2006/relationships/hyperlink" Target="https://advance.lexis.com/api/document?collection=administrative-codes&amp;id=urn:contentItem:3SDR-X4D0-001J-X3GV-00000-00&amp;context=" TargetMode="External" /><Relationship Id="rId84" Type="http://schemas.openxmlformats.org/officeDocument/2006/relationships/hyperlink" Target="https://advance.lexis.com/api/document?collection=statutes-legislation&amp;id=urn:contentItem:4YF7-GHY1-NRF4-409B-00000-00&amp;context=" TargetMode="External" /><Relationship Id="rId85" Type="http://schemas.openxmlformats.org/officeDocument/2006/relationships/hyperlink" Target="https://advance.lexis.com/api/document?collection=administrative-codes&amp;id=urn:contentItem:456G-VJ10-006W-84J8-00000-00&amp;context=" TargetMode="External" /><Relationship Id="rId86" Type="http://schemas.openxmlformats.org/officeDocument/2006/relationships/hyperlink" Target="https://advance.lexis.com/api/document?collection=administrative-codes&amp;id=urn:contentItem:46XX-5W60-006W-850B-00000-00&amp;context=" TargetMode="External" /><Relationship Id="rId87" Type="http://schemas.openxmlformats.org/officeDocument/2006/relationships/hyperlink" Target="https://advance.lexis.com/api/document?collection=administrative-codes&amp;id=urn:contentItem:433N-45V0-006W-82C7-00000-00&amp;context=" TargetMode="External" /><Relationship Id="rId88" Type="http://schemas.openxmlformats.org/officeDocument/2006/relationships/hyperlink" Target="https://advance.lexis.com/api/document?collection=statutes-legislation&amp;id=urn:contentItem:4YF7-GTB1-NRF4-40PP-00000-00&amp;context=" TargetMode="External" /><Relationship Id="rId89" Type="http://schemas.openxmlformats.org/officeDocument/2006/relationships/hyperlink" Target="https://advance.lexis.com/api/document?collection=statutes-legislation&amp;id=urn:contentItem:4YF7-GRW1-NRF4-420B-00000-00&amp;context=" TargetMode="External" /><Relationship Id="rId9" Type="http://schemas.openxmlformats.org/officeDocument/2006/relationships/hyperlink" Target="http://www.whitehouse.gov/sites/default/files/omb/inforeg/scc-tsd-final-july-2015.pdf" TargetMode="External" /><Relationship Id="rId90" Type="http://schemas.openxmlformats.org/officeDocument/2006/relationships/hyperlink" Target="https://advance.lexis.com/api/document?collection=administrative-codes&amp;id=urn:contentItem:5K62-SBN0-008H-03GT-00000-00&amp;context=" TargetMode="External" /><Relationship Id="rId91" Type="http://schemas.openxmlformats.org/officeDocument/2006/relationships/hyperlink" Target="mailto:Brenda.Edwards@ee.doe.gov" TargetMode="External" /><Relationship Id="rId92" Type="http://schemas.openxmlformats.org/officeDocument/2006/relationships/hyperlink" Target="mailto:commercial_pre-rinse_spray_valves@ee.doe.gov" TargetMode="External" /><Relationship Id="rId93" Type="http://schemas.openxmlformats.org/officeDocument/2006/relationships/hyperlink" Target="mailto:Peter.Cochran@hq.doe.gov" TargetMode="External" /><Relationship Id="rId94" Type="http://schemas.openxmlformats.org/officeDocument/2006/relationships/numbering" Target="numbering.xml" /><Relationship Id="rId9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75926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71341343</vt:lpwstr>
  </property>
  <property fmtid="{D5CDD505-2E9C-101B-9397-08002B2CF9AE}" pid="3" name="LADocCount">
    <vt:lpwstr>1</vt:lpwstr>
  </property>
  <property fmtid="{D5CDD505-2E9C-101B-9397-08002B2CF9AE}" pid="4" name="UserPermID">
    <vt:lpwstr>urn:user:PA185916758</vt:lpwstr>
  </property>
</Properties>
</file>