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50485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147, Monday, August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50485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Rehabilitation Services Administration--Disability Innovation Fund--Transition Work-Based Learning Model Demonstrations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Rehabilitation Services Administration--Disability Innovation Fund--Transition Work-Based Learning Model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84.421B.</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26,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2016-18030 Filed 7-29-16;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August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August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September 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Disability Innovation Fund (DIF) Program, as provided by the Consolidated Appropriations Act, 2015 (Pub. L. 113-235), is to support innovative activities aimed at improving the outcomes of "individuals with disabilities," as defined in section 7(20)(A) of the Rehabilitation Act of 1973, as amended (Rehabilitation Act) </w:t>
      </w:r>
      <w:hyperlink r:id="rId10" w:history="1">
        <w:r>
          <w:rPr>
            <w:rFonts w:ascii="arial" w:eastAsia="arial" w:hAnsi="arial" w:cs="arial"/>
            <w:b w:val="0"/>
            <w:i/>
            <w:strike w:val="0"/>
            <w:noProof w:val="0"/>
            <w:color w:val="0077CC"/>
            <w:position w:val="0"/>
            <w:sz w:val="20"/>
            <w:u w:val="single"/>
            <w:vertAlign w:val="baseline"/>
          </w:rPr>
          <w:t>(29 U.S.C. 705</w:t>
        </w:r>
      </w:hyperlink>
      <w:r>
        <w:rPr>
          <w:rFonts w:ascii="arial" w:eastAsia="arial" w:hAnsi="arial" w:cs="arial"/>
          <w:b w:val="0"/>
          <w:i w:val="0"/>
          <w:strike w:val="0"/>
          <w:noProof w:val="0"/>
          <w:color w:val="000000"/>
          <w:position w:val="0"/>
          <w:sz w:val="20"/>
          <w:u w:val="none"/>
          <w:vertAlign w:val="baseline"/>
        </w:rPr>
        <w:t>(20)(A)).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one absolute priority and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These priorities are from the notice of final priorities, requirements, and definition (NFP)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an absolute priority, we consider only applications that meet the priority (34 CFR 75.105(c)(3)).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Priority--Transition Work-Based Learning Model Demonstrations.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full text of the absolute priority is included in the NFP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will award two additional points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up to five additional points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to an application, depending on how well the application meets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1--Evidence of Promise Supporting the Proposed Model.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2--Project Evaluation Designed to Meet the What Works Clearinghouse Evidence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full text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included in the NFP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requirements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NFP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are in effect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full text of the requirements is included in the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are from the Workforce Innovation and Opportunity Act (WIOA), the Rehabilitation Act, 34 CFR part 77, and the NFP. The source of each definition is noted following the text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Career pathway</w:t>
      </w:r>
      <w:r>
        <w:rPr>
          <w:rFonts w:ascii="arial" w:eastAsia="arial" w:hAnsi="arial" w:cs="arial"/>
          <w:b w:val="0"/>
          <w:i w:val="0"/>
          <w:strike w:val="0"/>
          <w:noProof w:val="0"/>
          <w:color w:val="000000"/>
          <w:position w:val="0"/>
          <w:sz w:val="20"/>
          <w:u w:val="none"/>
          <w:vertAlign w:val="baseline"/>
        </w:rPr>
        <w:t xml:space="preserve"> means a combination of rigorous and high-quality education, training, and other services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Aligns with the skill needs of industries in the economy of the State or regional economy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Prepares an individual to be successful in any of a full range of </w:t>
      </w:r>
      <w:r>
        <w:rPr>
          <w:rFonts w:ascii="arial" w:eastAsia="arial" w:hAnsi="arial" w:cs="arial"/>
          <w:b/>
          <w:i w:val="0"/>
          <w:strike w:val="0"/>
          <w:noProof w:val="0"/>
          <w:color w:val="000000"/>
          <w:position w:val="0"/>
          <w:sz w:val="20"/>
          <w:u w:val="none"/>
          <w:vertAlign w:val="baseline"/>
        </w:rPr>
        <w:t> [*50486] </w:t>
      </w:r>
      <w:r>
        <w:rPr>
          <w:rFonts w:ascii="arial" w:eastAsia="arial" w:hAnsi="arial" w:cs="arial"/>
          <w:b w:val="0"/>
          <w:i w:val="0"/>
          <w:strike w:val="0"/>
          <w:noProof w:val="0"/>
          <w:color w:val="000000"/>
          <w:position w:val="0"/>
          <w:sz w:val="20"/>
          <w:u w:val="none"/>
          <w:vertAlign w:val="baseline"/>
        </w:rPr>
        <w:t xml:space="preserve"> secondary or postsecondary education options, including apprenticeships registered under the Act of August 16, 1937 (commonly known as the "National Apprenticeship Act"; </w:t>
      </w:r>
      <w:r>
        <w:rPr>
          <w:rFonts w:ascii="arial" w:eastAsia="arial" w:hAnsi="arial" w:cs="arial"/>
          <w:b w:val="0"/>
          <w:i/>
          <w:strike w:val="0"/>
          <w:noProof w:val="0"/>
          <w:color w:val="000000"/>
          <w:position w:val="0"/>
          <w:sz w:val="20"/>
          <w:u w:val="none"/>
          <w:vertAlign w:val="baseline"/>
        </w:rPr>
        <w:t>50 Stat. 664,</w:t>
      </w:r>
      <w:r>
        <w:rPr>
          <w:rFonts w:ascii="arial" w:eastAsia="arial" w:hAnsi="arial" w:cs="arial"/>
          <w:b w:val="0"/>
          <w:i w:val="0"/>
          <w:strike w:val="0"/>
          <w:noProof w:val="0"/>
          <w:color w:val="000000"/>
          <w:position w:val="0"/>
          <w:sz w:val="20"/>
          <w:u w:val="none"/>
          <w:vertAlign w:val="baseline"/>
        </w:rPr>
        <w:t xml:space="preserve"> chapter 663; </w:t>
      </w:r>
      <w:hyperlink r:id="rId11"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Includes counseling to support an individual in achieving the individual's education and career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Includes, as appropriate, education offered concurrently with and in the same context as workforce preparation activities and training for a specific occupation or occupational cluster;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Organizes education, training, and other services to meet the particular needs of an individual in a manner that accelerates the educational and career advancement of the individual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Enables an individual to attain a secondary school diploma or its recognized equivalent and at least one recognized postsecondary credential;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Helps an individual enter or advance within a specific occupation or occupational cluster.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Section 3(7) of WIOA.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w:t>
      </w:r>
      <w:r>
        <w:rPr>
          <w:rFonts w:ascii="arial" w:eastAsia="arial" w:hAnsi="arial" w:cs="arial"/>
          <w:b w:val="0"/>
          <w:i w:val="0"/>
          <w:strike w:val="0"/>
          <w:noProof w:val="0"/>
          <w:color w:val="000000"/>
          <w:position w:val="0"/>
          <w:sz w:val="20"/>
          <w:u w:val="none"/>
          <w:vertAlign w:val="baseline"/>
        </w:rPr>
        <w:t xml:space="preserve"> means work that is performed on a full-time or part-time basis (including self-employment)--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which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compensated at a rate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 Is not less than the higher of the rate specified in section 6(a)(1) of the Fair Labor Standards Act of 1938 </w:t>
      </w:r>
      <w:hyperlink r:id="rId12" w:history="1">
        <w:r>
          <w:rPr>
            <w:rFonts w:ascii="arial" w:eastAsia="arial" w:hAnsi="arial" w:cs="arial"/>
            <w:b w:val="0"/>
            <w:i/>
            <w:strike w:val="0"/>
            <w:noProof w:val="0"/>
            <w:color w:val="0077CC"/>
            <w:position w:val="0"/>
            <w:sz w:val="20"/>
            <w:u w:val="single"/>
            <w:vertAlign w:val="baseline"/>
          </w:rPr>
          <w:t>(29 U.S.C. 206</w:t>
        </w:r>
      </w:hyperlink>
      <w:r>
        <w:rPr>
          <w:rFonts w:ascii="arial" w:eastAsia="arial" w:hAnsi="arial" w:cs="arial"/>
          <w:b w:val="0"/>
          <w:i w:val="0"/>
          <w:strike w:val="0"/>
          <w:noProof w:val="0"/>
          <w:color w:val="000000"/>
          <w:position w:val="0"/>
          <w:sz w:val="20"/>
          <w:u w:val="none"/>
          <w:vertAlign w:val="baseline"/>
        </w:rPr>
        <w:t>(a)(1)) or the rate specified in the applicable State or local minimum wage law;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not less than the customary rate paid by the employer for the same or similar work performed by other employees who are not individuals with disabilities and who are similarly situated in similar occupations by the same employer and who have similar training, experience, and skills;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 the case of an individual who is self-employed, yields an income that is comparable to the income received by other individuals who are not individuals with disabilities and who are self-employed in similar occupations or on similar tasks and who have similar training, experience, and skills;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eligible for the level of benefits provided to other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is at a location where the employee interacts with other persons who are not individuals with disabilities (not including supervisory personnel or individuals who are providing services to such employee) to the same extent that individuals who are not individuals with disabilities and who are in comparable positions interact with other persons;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as appropriate, presents opportunities for advancement that are similar to those for other employees who are not individuals with disabilities and who have similar positions.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Section 7(5)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Customized employment</w:t>
      </w:r>
      <w:r>
        <w:rPr>
          <w:rFonts w:ascii="arial" w:eastAsia="arial" w:hAnsi="arial" w:cs="arial"/>
          <w:b w:val="0"/>
          <w:i w:val="0"/>
          <w:strike w:val="0"/>
          <w:noProof w:val="0"/>
          <w:color w:val="000000"/>
          <w:position w:val="0"/>
          <w:sz w:val="20"/>
          <w:u w:val="none"/>
          <w:vertAlign w:val="baseline"/>
        </w:rPr>
        <w:t xml:space="preserve">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an individual with a significant disability, that is based on an individualized determination of the strengths, needs, and interests of the individual with a significant disability, is designed to meet the specific disabilities of the individual with a significant disability and the business needs of the employer, and is carried out through flexible strategies,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Job exploration by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Working with an employer to facilitate placement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Customizing a job description based on current employer needs or on previously unidentified and unmet employer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Developing a set of job duties, a work schedule and job arrangement, and specifics of supervision (including performance evaluation and review), and determining a job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Representation by a professional chosen by the individual, or self-representation of the individual, in working with an employer to facilitate placement;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Providing services and supports at the job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Section 7(7)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an evaluation that is designed and carried out independent of and external to the grantee but in coordination with any employees of the grantee who develop a process, product, strategy, or practice that is currently being implemented as part of the grant's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 an individual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Has a physical or mental impairment that for such individual constitutes or results in a substantial impediment to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Can benefit in terms of an employment outcome from vocational rehabilitation services provided pursuant to Title I, III, or VI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Section 7(20)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services</w:t>
      </w:r>
      <w:r>
        <w:rPr>
          <w:rFonts w:ascii="arial" w:eastAsia="arial" w:hAnsi="arial" w:cs="arial"/>
          <w:b w:val="0"/>
          <w:i w:val="0"/>
          <w:strike w:val="0"/>
          <w:noProof w:val="0"/>
          <w:color w:val="000000"/>
          <w:position w:val="0"/>
          <w:sz w:val="20"/>
          <w:u w:val="none"/>
          <w:vertAlign w:val="baseline"/>
        </w:rPr>
        <w:t xml:space="preserve"> means services provided in accordance with section 113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Sections 7(30) and 113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w:t>
      </w:r>
      <w:r>
        <w:rPr>
          <w:rFonts w:ascii="arial" w:eastAsia="arial" w:hAnsi="arial" w:cs="arial"/>
          <w:b/>
          <w:i w:val="0"/>
          <w:strike w:val="0"/>
          <w:noProof w:val="0"/>
          <w:color w:val="000000"/>
          <w:position w:val="0"/>
          <w:sz w:val="20"/>
          <w:u w:val="none"/>
          <w:vertAlign w:val="baseline"/>
        </w:rPr>
        <w:t> [*50487] </w:t>
      </w:r>
      <w:r>
        <w:rPr>
          <w:rFonts w:ascii="arial" w:eastAsia="arial" w:hAnsi="arial" w:cs="arial"/>
          <w:b w:val="0"/>
          <w:i w:val="0"/>
          <w:strike w:val="0"/>
          <w:noProof w:val="0"/>
          <w:color w:val="000000"/>
          <w:position w:val="0"/>
          <w:sz w:val="20"/>
          <w:u w:val="none"/>
          <w:vertAlign w:val="baseline"/>
        </w:rPr>
        <w:t xml:space="preserve">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34 CFR 77.1(c).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with a disability</w:t>
      </w:r>
      <w:r>
        <w:rPr>
          <w:rFonts w:ascii="arial" w:eastAsia="arial" w:hAnsi="arial" w:cs="arial"/>
          <w:b w:val="0"/>
          <w:i w:val="0"/>
          <w:strike w:val="0"/>
          <w:noProof w:val="0"/>
          <w:color w:val="000000"/>
          <w:position w:val="0"/>
          <w:sz w:val="20"/>
          <w:u w:val="none"/>
          <w:vertAlign w:val="baseline"/>
        </w:rPr>
        <w:t xml:space="preserve"> means an individual with a disability who--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(A)(1) Is not younger than the earliest age for the provision of transition services under section 614(d)(1)(A)(i)(VIII) of the Individuals with Disabilities Education Act </w:t>
      </w:r>
      <w:hyperlink r:id="rId13" w:history="1">
        <w:r>
          <w:rPr>
            <w:rFonts w:ascii="arial" w:eastAsia="arial" w:hAnsi="arial" w:cs="arial"/>
            <w:b w:val="0"/>
            <w:i/>
            <w:strike w:val="0"/>
            <w:noProof w:val="0"/>
            <w:color w:val="0077CC"/>
            <w:position w:val="0"/>
            <w:sz w:val="20"/>
            <w:u w:val="single"/>
            <w:vertAlign w:val="baseline"/>
          </w:rPr>
          <w:t>(20 U.S.C. 1414</w:t>
        </w:r>
      </w:hyperlink>
      <w:r>
        <w:rPr>
          <w:rFonts w:ascii="arial" w:eastAsia="arial" w:hAnsi="arial" w:cs="arial"/>
          <w:b w:val="0"/>
          <w:i w:val="0"/>
          <w:strike w:val="0"/>
          <w:noProof w:val="0"/>
          <w:color w:val="000000"/>
          <w:position w:val="0"/>
          <w:sz w:val="20"/>
          <w:u w:val="none"/>
          <w:vertAlign w:val="baseline"/>
        </w:rPr>
        <w:t>(d)(1)(A)(i)(VIII));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State involved elects to use a lower minimum age for receipt of pre-employment transition services under the Rehabilitation Act, is not younger than that minimum age;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(B)(1) Is not older than 21 years of age;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If the State law for the State provides for a higher maximum age for receipt of services under the Individuals with Disabilities Education Act </w:t>
      </w:r>
      <w:hyperlink r:id="rId14"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older than that maximum age;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(C)(1) Is eligible for, and receiving, special education or related services under Part B of the Individuals with Disabilities Education Act </w:t>
      </w:r>
      <w:hyperlink r:id="rId15" w:history="1">
        <w:r>
          <w:rPr>
            <w:rFonts w:ascii="arial" w:eastAsia="arial" w:hAnsi="arial" w:cs="arial"/>
            <w:b w:val="0"/>
            <w:i/>
            <w:strike w:val="0"/>
            <w:noProof w:val="0"/>
            <w:color w:val="0077CC"/>
            <w:position w:val="0"/>
            <w:sz w:val="20"/>
            <w:u w:val="single"/>
            <w:vertAlign w:val="baseline"/>
          </w:rPr>
          <w:t>(20 U.S.C. 1411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an individual with a disability, for purposes of section 504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Section 7(37)(A)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work setting in which individuals are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is individualized and customized consistent with the strengths, abilities, interests, and informed choice of the individuals involved, for individuals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not historically occurred;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been interrupted or intermittent as a result of a significant disability;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because of the nature and severity of their disability, need intensive supported employment services and extended services after the transition described in section (7)(13)(C) of the Rehabilitation Act, in order to perform the work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Section 7(38) of the Rehabilitation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6"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34 CFR 77.1(c).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Program Authority: </w:t>
      </w:r>
      <w:r>
        <w:rPr>
          <w:rFonts w:ascii="arial" w:eastAsia="arial" w:hAnsi="arial" w:cs="arial"/>
          <w:b w:val="0"/>
          <w:i w:val="0"/>
          <w:strike w:val="0"/>
          <w:noProof w:val="0"/>
          <w:color w:val="000000"/>
          <w:position w:val="0"/>
          <w:sz w:val="20"/>
          <w:u w:val="none"/>
          <w:vertAlign w:val="baseline"/>
        </w:rPr>
        <w:t xml:space="preserve"> Consolidated Appropriations Act, 2015 (Pub. L. 113-235).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386. (e) The NFP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 negotiated as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$ 30,000,000.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$ 800,000-$ 1,800,000.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estimates a wide range of awards given the potentially large differences in the scope of funded projects, including the number of students served and the intensity of services provided, the number of local sites where the proposed model will be implemented, and the scope and rigor of the proposed evaluation, particularly for those projects implementing proposals that met the requirements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$ 1,800,000 (for applications that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or $ 1,000,000 (for all other applications)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 Applicants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provide detailed budget information for each of the five years of this project and for the total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Vocational Rehabilitation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7"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8"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9"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84.421B.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Page Limit: The application narrative (Part III of the application) is where you, the applicant, address the selection criteria that reviewers use to evaluate your application. Because of the limited time available to review applications and make a recommendation for funding, we strongly encourage applicants to limit the application narrative to no more than 75 pages, using the following standards: </w:t>
      </w:r>
      <w:r>
        <w:rPr>
          <w:rFonts w:ascii="arial" w:eastAsia="arial" w:hAnsi="arial" w:cs="arial"/>
          <w:b/>
          <w:i w:val="0"/>
          <w:strike w:val="0"/>
          <w:noProof w:val="0"/>
          <w:color w:val="000000"/>
          <w:position w:val="0"/>
          <w:sz w:val="20"/>
          <w:u w:val="none"/>
          <w:vertAlign w:val="baseline"/>
        </w:rPr>
        <w:t> [*50488]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page-limit guidance on the application narrative section, we recommend that you adhere to the following page limits, using the standards listed above: (1) The abstract should be no more than one page, (2) the resumes of key personnel should be no more than two pages per person, and (3) the bibliography should be no more than three pages. The only optional materials that will be accepted are letters of support. Please note that our reviewers are not required to read optional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any funded applicant's application abstract will be made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August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Interested parties are invited to participate in a pre-application Webinar. The pre-application Webinar with staff from the Department will be held at 2:00 p.m., Washington DC time, on Thursday, August 4, 2016. The Webinar will be recorded. For further information about the pre-application Webinar,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September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However, under 34 CFR 79.8(a), we waive intergovernmental review in order to make awards by the end of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0"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1"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2"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Transition Work-Based Learning Model Demonstrations, CFDA number 84.421B,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3"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[*50489]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Rehabilitation Services Administration--Disability Innovation Fund--Transition Work-Based Learning Model Demonstrations at </w:t>
      </w:r>
      <w:hyperlink r:id="rId23"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84.421, not 84.421B).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4"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5"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w:t>
      </w:r>
      <w:r>
        <w:rPr>
          <w:rFonts w:ascii="arial" w:eastAsia="arial" w:hAnsi="arial" w:cs="arial"/>
          <w:b/>
          <w:i w:val="0"/>
          <w:strike w:val="0"/>
          <w:noProof w:val="0"/>
          <w:color w:val="000000"/>
          <w:position w:val="0"/>
          <w:sz w:val="20"/>
          <w:u w:val="none"/>
          <w:vertAlign w:val="baseline"/>
        </w:rPr>
        <w:t> [*50490] </w:t>
      </w:r>
      <w:r>
        <w:rPr>
          <w:rFonts w:ascii="arial" w:eastAsia="arial" w:hAnsi="arial" w:cs="arial"/>
          <w:b w:val="0"/>
          <w:i w:val="0"/>
          <w:strike w:val="0"/>
          <w:noProof w:val="0"/>
          <w:color w:val="000000"/>
          <w:position w:val="0"/>
          <w:sz w:val="20"/>
          <w:u w:val="none"/>
          <w:vertAlign w:val="baseline"/>
        </w:rPr>
        <w:t xml:space="preserve">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RoseAnn Ashby, U.S. Department of Education, Rehabilitation Services Administration, 400 Maryland Avenue SW., Room 5057, Potomac Center Plaza (PCP), Washington, DC 20202-2800. FAX: (202) 245-7593.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84.421B),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84.421B),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 and 34 CFR 386.20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2 CFR 170.110(b). </w:t>
      </w:r>
      <w:r>
        <w:rPr>
          <w:rFonts w:ascii="arial" w:eastAsia="arial" w:hAnsi="arial" w:cs="arial"/>
          <w:b/>
          <w:i w:val="0"/>
          <w:strike w:val="0"/>
          <w:noProof w:val="0"/>
          <w:color w:val="000000"/>
          <w:position w:val="0"/>
          <w:sz w:val="20"/>
          <w:u w:val="none"/>
          <w:vertAlign w:val="baseline"/>
        </w:rPr>
        <w:t> [*50491]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Government Performance and Results Act of 1993 directs Federal departments and agencies to improve the effectiveness of programs by engaging in strategic planning, setting outcome-related goals for programs, and measuring program results against these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goal of the Transition Work-Based Learning Model Demonstration is to identify and demonstrate practices, which are supported by evidence, in providing work-based learning experiences in integrated settings under the VR program, in collaboration with State and local educational agencies, and other key partners within the local community, to improve post-school outcomes for students with disabilities. Such practices must be supported by strong theory and rigorously evaluated. Under the absolute priority, grant recipients are required to develop and implement a plan to measure the model demonstration project's performance and outcomes, including an evaluation of the practices and strategies implemented by the project. The cooperative agreement will specify the measures that will be used to assess the grantees' performance in achieving the goals and objectives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the extent to which:</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 participants successfully complete at least two work-based learning experiences, including one paid work experience;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in the project demonstrates that work-based learning experiences have contributed to student academic and career planning;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 participants enroll in postsecondary education or training;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Project participants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annual and final performance report to the Department, grant recipients will be expected to report the data specified in the absolute priority described in this notice and any additional data outlined in the cooperative agreement that is needed to assess its project's performance. The cooperative agreement and annual report will be reviewed by RSA and the grant recipient between the third and fourth quarter of each project period. Adjustments will be made to the project accordingly in order to ensure demonstrated progress towards meeting the goal and outcomes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RoseAnn Ashby, U.S. Department of Education, Rehabilitation Services Administration, 400 Maryland Avenue SW., Room 5057, PCP, Washington, DC 20202-5076. Telephone: (202) 245-7258, or by email: </w:t>
      </w:r>
      <w:hyperlink r:id="rId27" w:history="1">
        <w:r>
          <w:rPr>
            <w:rFonts w:ascii="arial" w:eastAsia="arial" w:hAnsi="arial" w:cs="arial"/>
            <w:b w:val="0"/>
            <w:i/>
            <w:strike w:val="0"/>
            <w:noProof w:val="0"/>
            <w:color w:val="0077CC"/>
            <w:position w:val="0"/>
            <w:sz w:val="20"/>
            <w:u w:val="single"/>
            <w:vertAlign w:val="baseline"/>
          </w:rPr>
          <w:t>roseann.ashby@ed.gov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50485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F1-NRF4-429W-00000-00&amp;context=" TargetMode="External" /><Relationship Id="rId11" Type="http://schemas.openxmlformats.org/officeDocument/2006/relationships/hyperlink" Target="https://advance.lexis.com/api/document?collection=statutes-legislation&amp;id=urn:contentItem:4YF7-GPH1-NRF4-44J5-00000-00&amp;context=" TargetMode="External" /><Relationship Id="rId12" Type="http://schemas.openxmlformats.org/officeDocument/2006/relationships/hyperlink" Target="https://advance.lexis.com/api/document?collection=statutes-legislation&amp;id=urn:contentItem:4YF7-GVG1-NRF4-41RN-00000-00&amp;context=" TargetMode="External" /><Relationship Id="rId13" Type="http://schemas.openxmlformats.org/officeDocument/2006/relationships/hyperlink" Target="https://advance.lexis.com/api/document?collection=statutes-legislation&amp;id=urn:contentItem:4YF7-GST1-NRF4-40TT-00000-00&amp;context=" TargetMode="External" /><Relationship Id="rId14" Type="http://schemas.openxmlformats.org/officeDocument/2006/relationships/hyperlink" Target="https://advance.lexis.com/api/document?collection=statutes-legislation&amp;id=urn:contentItem:4YF7-GNB1-NRF4-4325-00000-00&amp;context=" TargetMode="External" /><Relationship Id="rId15" Type="http://schemas.openxmlformats.org/officeDocument/2006/relationships/hyperlink" Target="https://advance.lexis.com/api/document?collection=statutes-legislation&amp;id=urn:contentItem:4YF7-GVM1-NRF4-43R5-00000-00&amp;context=" TargetMode="External" /><Relationship Id="rId16" Type="http://schemas.openxmlformats.org/officeDocument/2006/relationships/hyperlink" Target="http://ies.ed.gov/ncee/wwc/DocumentSum.aspx?sid=19" TargetMode="External" /><Relationship Id="rId17" Type="http://schemas.openxmlformats.org/officeDocument/2006/relationships/hyperlink" Target="http://www.ed.gov/fund/grant/apply/grantapps/index.html" TargetMode="External" /><Relationship Id="rId18" Type="http://schemas.openxmlformats.org/officeDocument/2006/relationships/hyperlink" Target="http://www.EDPubs.gov" TargetMode="External" /><Relationship Id="rId19" Type="http://schemas.openxmlformats.org/officeDocument/2006/relationships/hyperlink" Target="mailto:edpubs@inet.ed.gov" TargetMode="External" /><Relationship Id="rId2" Type="http://schemas.openxmlformats.org/officeDocument/2006/relationships/webSettings" Target="webSettings.xml" /><Relationship Id="rId20" Type="http://schemas.openxmlformats.org/officeDocument/2006/relationships/hyperlink" Target="http://fedgov.dnb.com/webform" TargetMode="External" /><Relationship Id="rId21" Type="http://schemas.openxmlformats.org/officeDocument/2006/relationships/hyperlink" Target="http://www.SAM.gov" TargetMode="External" /><Relationship Id="rId22" Type="http://schemas.openxmlformats.org/officeDocument/2006/relationships/hyperlink" Target="http://www.grants.gov/web/grants/register.html" TargetMode="External" /><Relationship Id="rId23" Type="http://schemas.openxmlformats.org/officeDocument/2006/relationships/hyperlink" Target="http://www.Grants.gov" TargetMode="External" /><Relationship Id="rId24" Type="http://schemas.openxmlformats.org/officeDocument/2006/relationships/hyperlink" Target="http://www.G5.gov" TargetMode="External" /><Relationship Id="rId25" Type="http://schemas.openxmlformats.org/officeDocument/2006/relationships/hyperlink" Target="http://www.grants.gov/web/grants/applicants/apply-for-grants.html" TargetMode="External" /><Relationship Id="rId26" Type="http://schemas.openxmlformats.org/officeDocument/2006/relationships/hyperlink" Target="http://www.ed.gov/fund/grant/apply/appforms/appforms.html" TargetMode="External" /><Relationship Id="rId27" Type="http://schemas.openxmlformats.org/officeDocument/2006/relationships/hyperlink" Target="mailto:roseann.ashby@ed.gov"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C5-8CW0-006W-852S-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11944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71556686</vt:lpwstr>
  </property>
  <property fmtid="{D5CDD505-2E9C-101B-9397-08002B2CF9AE}" pid="3" name="LADocCount">
    <vt:lpwstr>1</vt:lpwstr>
  </property>
  <property fmtid="{D5CDD505-2E9C-101B-9397-08002B2CF9AE}" pid="4" name="UserPermID">
    <vt:lpwstr>urn:user:PA185916758</vt:lpwstr>
  </property>
</Properties>
</file>