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5143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020, Monday, February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5143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a Proposed Rule Change Amending the Fees for NYSE Order Imbalances and NYSE Alerts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34-76972; File No. SR-NYSE-2016-08]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13,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[*5144]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Order Imbalances and NYSE Alerts to establish a multiple data feed fee. The Exchange also proposes to amend the fees for the NYSE Order Imbalances to discontinue fees relating to managed non-display.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Order Imbalances n4 and for NYSE Alerts, n5 as set forth on the NYSE Proprietary Market Data Fee Schedule ("Fee Schedule"). The Exchange proposes to make the following fee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59543 (March 9, 2009), </w:t>
      </w:r>
      <w:hyperlink r:id="rId12" w:history="1">
        <w:r>
          <w:rPr>
            <w:rFonts w:ascii="arial" w:eastAsia="arial" w:hAnsi="arial" w:cs="arial"/>
            <w:b w:val="0"/>
            <w:i/>
            <w:strike w:val="0"/>
            <w:noProof w:val="0"/>
            <w:color w:val="0077CC"/>
            <w:position w:val="0"/>
            <w:sz w:val="20"/>
            <w:u w:val="single"/>
            <w:vertAlign w:val="baseline"/>
          </w:rPr>
          <w:t>74 FR 11159</w:t>
        </w:r>
      </w:hyperlink>
      <w:r>
        <w:rPr>
          <w:rFonts w:ascii="arial" w:eastAsia="arial" w:hAnsi="arial" w:cs="arial"/>
          <w:b w:val="0"/>
          <w:i w:val="0"/>
          <w:strike w:val="0"/>
          <w:noProof w:val="0"/>
          <w:color w:val="000000"/>
          <w:position w:val="0"/>
          <w:sz w:val="20"/>
          <w:u w:val="none"/>
          <w:vertAlign w:val="baseline"/>
        </w:rPr>
        <w:t xml:space="preserve"> (March 16, 2009) (SR-NYSE-2008-132), 72923 (Aug. 26, 2014), </w:t>
      </w:r>
      <w:hyperlink r:id="rId13"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("2014 Non-Display Filing") and 73994 (Jan. 6, 2015), </w:t>
      </w:r>
      <w:hyperlink r:id="rId14" w:history="1">
        <w:r>
          <w:rPr>
            <w:rFonts w:ascii="arial" w:eastAsia="arial" w:hAnsi="arial" w:cs="arial"/>
            <w:b w:val="0"/>
            <w:i/>
            <w:strike w:val="0"/>
            <w:noProof w:val="0"/>
            <w:color w:val="0077CC"/>
            <w:position w:val="0"/>
            <w:sz w:val="20"/>
            <w:u w:val="single"/>
            <w:vertAlign w:val="baseline"/>
          </w:rPr>
          <w:t>80 FR 1554</w:t>
        </w:r>
      </w:hyperlink>
      <w:r>
        <w:rPr>
          <w:rFonts w:ascii="arial" w:eastAsia="arial" w:hAnsi="arial" w:cs="arial"/>
          <w:b w:val="0"/>
          <w:i w:val="0"/>
          <w:strike w:val="0"/>
          <w:noProof w:val="0"/>
          <w:color w:val="000000"/>
          <w:position w:val="0"/>
          <w:sz w:val="20"/>
          <w:u w:val="none"/>
          <w:vertAlign w:val="baseline"/>
        </w:rPr>
        <w:t xml:space="preserve"> (Jan. 12, 2015) (SR-NYSE-2014-77).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50844 (Dec. 13, 2004), </w:t>
      </w:r>
      <w:hyperlink r:id="rId15" w:history="1">
        <w:r>
          <w:rPr>
            <w:rFonts w:ascii="arial" w:eastAsia="arial" w:hAnsi="arial" w:cs="arial"/>
            <w:b w:val="0"/>
            <w:i/>
            <w:strike w:val="0"/>
            <w:noProof w:val="0"/>
            <w:color w:val="0077CC"/>
            <w:position w:val="0"/>
            <w:sz w:val="20"/>
            <w:u w:val="single"/>
            <w:vertAlign w:val="baseline"/>
          </w:rPr>
          <w:t>69 FR 76806</w:t>
        </w:r>
      </w:hyperlink>
      <w:r>
        <w:rPr>
          <w:rFonts w:ascii="arial" w:eastAsia="arial" w:hAnsi="arial" w:cs="arial"/>
          <w:b w:val="0"/>
          <w:i w:val="0"/>
          <w:strike w:val="0"/>
          <w:noProof w:val="0"/>
          <w:color w:val="000000"/>
          <w:position w:val="0"/>
          <w:sz w:val="20"/>
          <w:u w:val="none"/>
          <w:vertAlign w:val="baseline"/>
        </w:rPr>
        <w:t xml:space="preserve"> (Dec. 22, 2004) (SR-NYSE-2004-53).</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 for NYSE Order Imbalances and for NYSE Alerts;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for NYSE Order Imbalances and NYSE Alerts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text of footnote 6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 (Proposed Rule Change to Amend the Fees for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Order Imbalances and NYSE Alerts in more than two locations would be charged $ 200 per product per additional location per month. No new reporting would be required.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Order Imbalance Data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market data means accessing, processing, or consuming NYSE market data delivered via direct and/or Redistributor n8 data feeds for a purpose other than in support of a data recipient's display usage or further internal or external redistribution. n9 Managed Non-Display Services fees apply when a data recipient's non-display applications are hosted by a Redistributor that has been approved for Managed Non-Display Services. n10 A Redistributor approved for Managed Non-Display Services manages and controls the access to NYSE Order Imbalances and does not allow for further internal distribution or external redistribution of NYSE Order Imbalances by the data recipients. A Redistributor approved for Managed Non-Display Services is required to report to NYSE on a monthly basis the data recipients that are receiving NYSE market data through the Redistributor's managed non-display service and the real-time NYSE market data products that such data recipients are receiving through such service. Recipients of data through Managed Non-Display Service have no additional reporting requirements. Data recipients that receive NYSE Order Imbalances from an approved Redistributor of Managed Non-Display Services are charged an access fee of $ 250 per month and a Managed Non-Display Services Fee of $ 200 per month, for a total fee of $ 450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"Redistributor" means a vendor or any other person that provides an NYSE data product to a data recipient or to any system that a data recipient uses, irrespective of the means of transmission or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59544 (Mar. 9, 2009), </w:t>
      </w:r>
      <w:hyperlink r:id="rId16"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(March 16, 2009) (SR-NYSE-2008-131).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be approved for Managed Non-Display Services, a Redistributor must manage and control the access to NYSE Order Imbalances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Order Imbalances in the Redistributor's own messaging formats (rather than using raw NYSE message formats) by reformatting and/or altering NYSE Order Imbalances prior to retransmission without affecting the integrity of NYSE Order Imbalances and without rendering NYSE Order Imbalances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Order Imbalances on a managed non-display basis would continue to be subject to an access fee of $ 500 per month, and the same non-display services fees, n11 as other data recipients.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order to harmonize its approach to fees for its market data products, the Exchange is simultaneously proposing to remove fees related to Managed Non-Display Services for NYSE BBO, NYSE Trades, and NYSE OpenBook.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SR-NYSE-2016-03 and SR-NYSE-2016-02. The fees applicable to NYSE Integrated market data product effective as of January 4, 2016 do not include Managed Non-Display Services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Application of the Access Fee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recipients that subscribe to NYSE Order Imbalances are currently charged an access fee of $ 500 per month. The Exchange currently charges an access fee of $ 5,000 per month to each NYSE OpenBook data feed recipient. The access fee for NYSE OpenBook allows recipients of NYSE OpenBook to also receive NYSE Order Imbalances and NYSE BBO without separately paying additional access fees for these products. n13 The Exchange is not proposing any change to the access fee currently payable for NYSE Order Imbalances. The Exchange notes, however, that pursuant to a proposed rule change filed separately, recipients of NYSE OpenBook will no longer receive NYSE Order Imbalances or NYSE BBO without paying a separate access fee for each of these products.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59544 (Mar. 9, 2009), </w:t>
      </w:r>
      <w:hyperlink r:id="rId16"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(March 16, 2009) (SR-NYSE-2008-131), at 11163.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w:t>
      </w:r>
      <w:r>
        <w:rPr>
          <w:rFonts w:ascii="arial" w:eastAsia="arial" w:hAnsi="arial" w:cs="arial"/>
          <w:b/>
          <w:i w:val="0"/>
          <w:strike w:val="0"/>
          <w:noProof w:val="0"/>
          <w:color w:val="000000"/>
          <w:position w:val="0"/>
          <w:sz w:val="20"/>
          <w:u w:val="none"/>
          <w:vertAlign w:val="baseline"/>
        </w:rPr>
        <w:t> [*5145] </w:t>
      </w:r>
      <w:r>
        <w:rPr>
          <w:rFonts w:ascii="arial" w:eastAsia="arial" w:hAnsi="arial" w:cs="arial"/>
          <w:b w:val="0"/>
          <w:i w:val="0"/>
          <w:strike w:val="0"/>
          <w:noProof w:val="0"/>
          <w:color w:val="000000"/>
          <w:position w:val="0"/>
          <w:sz w:val="20"/>
          <w:u w:val="none"/>
          <w:vertAlign w:val="baseline"/>
        </w:rPr>
        <w:t xml:space="preserve"> the provisions of section 6 of the Act, n15 in general, and sections 6(b)(4) and 6(b)(5) of the Act, n16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Order Imbalances and NYSE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for NYSE Order Imbalances and NYSE Alerts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n17 The Exchange also notes that the OPRA Plan imposes a similar charge of $ 100 per connection for circuit connections in addition to the primary and backup connections.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8"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9"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The Exchange determined in 2013 that its fee structure, which was then based primarily on counting both display and non-display devices, was no longer appropriate in light of market and technology developments. n19 Since then, the Exchange also modified its approach to display and non-display fees with changes to the fees as reflected in a 2014 filing. n20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69278 (April 2, 2013), </w:t>
      </w:r>
      <w:hyperlink r:id="rId20"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(April 8, 2013) (SR-NYSE-2013-25).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.72923 (Aug. 26, 2014), </w:t>
      </w:r>
      <w:hyperlink r:id="rId13"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Access Fees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make the changes proposed to the application of access fees for NYSE Order Imbalances. Specifically, data recipients that take the NYSE Order Imbalances, or any other data feed, receive value from each product they choose to take. A data recipient that chooses to take multiple products (no recipient is required to take any of products [sic], or any specific combination of them) uses each product in a different way and therefore obtains different value from each. Applying an access fee to each product would bring consistency to the Exchange's application of access fees to each product. The Exchange believes that each product has a separate and distinct value that is appropriate to reflect in a separate access fee. Finally, the requirement to pay separate access fees for each market data product is equitable and not unfairly discriminatory because it would apply to all data recipients and appropriately reflects the value of each product to those who choose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Order Imbalances and NYSE Alerts are entirely optional. The Exchange is not required to make NYSE Order Imbalances or NYSE Alerts available or to offer any specific pricing alternatives to any customers, nor is any firm required to purchase NYSE Order Imbalances or NYSE Alerts. Firms that do purchase these products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these products or any other similar products are attractively priced or not.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1"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1"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w:t>
      </w:r>
      <w:r>
        <w:rPr>
          <w:rFonts w:ascii="arial" w:eastAsia="arial" w:hAnsi="arial" w:cs="arial"/>
          <w:b/>
          <w:i w:val="0"/>
          <w:strike w:val="0"/>
          <w:noProof w:val="0"/>
          <w:color w:val="000000"/>
          <w:position w:val="0"/>
          <w:sz w:val="20"/>
          <w:u w:val="none"/>
          <w:vertAlign w:val="baseline"/>
        </w:rPr>
        <w:t> [*5146] </w:t>
      </w:r>
      <w:r>
        <w:rPr>
          <w:rFonts w:ascii="arial" w:eastAsia="arial" w:hAnsi="arial" w:cs="arial"/>
          <w:b w:val="0"/>
          <w:i w:val="0"/>
          <w:strike w:val="0"/>
          <w:noProof w:val="0"/>
          <w:color w:val="000000"/>
          <w:position w:val="0"/>
          <w:sz w:val="20"/>
          <w:u w:val="none"/>
          <w:vertAlign w:val="baseline"/>
        </w:rPr>
        <w:t xml:space="preserve">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2"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n25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Concept Release on Equity Market Structure, Securities Exchange Act Release No. 61358 (Jan. 14, 2010), </w:t>
      </w:r>
      <w:hyperlink r:id="rId24"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4"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Order Imbalances and NYSE Alerts unless their customers request them, and customers will not elect to pay the proposed fees unless these products can provide value by sufficiently increasing revenues or reducing costs in the customer's business in a manner that will offset the fees. All of these factors operate as constraints on pricing proprietary data products. </w:t>
      </w:r>
      <w:r>
        <w:rPr>
          <w:rFonts w:ascii="arial" w:eastAsia="arial" w:hAnsi="arial" w:cs="arial"/>
          <w:b/>
          <w:i w:val="0"/>
          <w:strike w:val="0"/>
          <w:noProof w:val="0"/>
          <w:color w:val="000000"/>
          <w:position w:val="0"/>
          <w:sz w:val="20"/>
          <w:u w:val="none"/>
          <w:vertAlign w:val="baseline"/>
        </w:rPr>
        <w:t> [*5147]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and NYSE's affiliates NYSE Arca and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n27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6"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7"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8"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MKT, NYSE </w:t>
      </w:r>
      <w:r>
        <w:rPr>
          <w:rFonts w:ascii="arial" w:eastAsia="arial" w:hAnsi="arial" w:cs="arial"/>
          <w:b/>
          <w:i w:val="0"/>
          <w:strike w:val="0"/>
          <w:noProof w:val="0"/>
          <w:color w:val="000000"/>
          <w:position w:val="0"/>
          <w:sz w:val="20"/>
          <w:u w:val="none"/>
          <w:vertAlign w:val="baseline"/>
        </w:rPr>
        <w:t> [*5148] </w:t>
      </w:r>
      <w:r>
        <w:rPr>
          <w:rFonts w:ascii="arial" w:eastAsia="arial" w:hAnsi="arial" w:cs="arial"/>
          <w:b w:val="0"/>
          <w:i w:val="0"/>
          <w:strike w:val="0"/>
          <w:noProof w:val="0"/>
          <w:color w:val="000000"/>
          <w:position w:val="0"/>
          <w:sz w:val="20"/>
          <w:u w:val="none"/>
          <w:vertAlign w:val="baseline"/>
        </w:rPr>
        <w:t xml:space="preserv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 to the fees for NYSE Order Imbalances and NYSE Alerts,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n30 of the Act and subparagraph (f)(2) of Rule 19b-4 n31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n32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SR-NYSE-2016-08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SR-NYSE-2016-08. This file number should be included on the subject line if email is used. To help the Commission process and review your comments more efficiently, please use only one method. The Commission will post all comments on the Commission's Internet Web site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SR-NYSE-2016-08 and should be submitted on or before February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2016-01712 Filed 1-29-16;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5143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VV2-RND0-006W-82HT-00000-00&amp;context=" TargetMode="External" /><Relationship Id="rId13" Type="http://schemas.openxmlformats.org/officeDocument/2006/relationships/hyperlink" Target="https://advance.lexis.com/api/document?collection=administrative-codes&amp;id=urn:contentItem:5D23-RDG0-006W-828R-00000-00&amp;context=" TargetMode="External" /><Relationship Id="rId14" Type="http://schemas.openxmlformats.org/officeDocument/2006/relationships/hyperlink" Target="https://advance.lexis.com/api/document?collection=administrative-codes&amp;id=urn:contentItem:5F27-YGX0-006W-84SK-00000-00&amp;context=" TargetMode="External" /><Relationship Id="rId15" Type="http://schemas.openxmlformats.org/officeDocument/2006/relationships/hyperlink" Target="https://advance.lexis.com/api/document?collection=administrative-codes&amp;id=urn:contentItem:4F30-DMY0-006W-848B-00000-00&amp;context=" TargetMode="External" /><Relationship Id="rId16" Type="http://schemas.openxmlformats.org/officeDocument/2006/relationships/hyperlink" Target="https://advance.lexis.com/api/document?collection=administrative-codes&amp;id=urn:contentItem:4VV2-RND0-006W-82HV-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administrative-codes&amp;id=urn:contentItem:58YY-BD30-006W-80HW-00000-00&amp;context=" TargetMode="External" /><Relationship Id="rId19" Type="http://schemas.openxmlformats.org/officeDocument/2006/relationships/hyperlink" Target="http://www.opradata.com/pdf/fee_schedule.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4X-MSJ0-006W-83Y8-00000-00&amp;context=" TargetMode="External" /><Relationship Id="rId21" Type="http://schemas.openxmlformats.org/officeDocument/2006/relationships/hyperlink" Target="https://advance.lexis.com/api/document?collection=cases&amp;id=urn:contentItem:803V-DT30-YB0V-T01B-00000-00&amp;context=" TargetMode="External" /><Relationship Id="rId22" Type="http://schemas.openxmlformats.org/officeDocument/2006/relationships/hyperlink" Target="http://www.sec.gov/rules/concept/s72899/buck1.htm" TargetMode="External" /><Relationship Id="rId23" Type="http://schemas.openxmlformats.org/officeDocument/2006/relationships/hyperlink" Target="http://www.justice.gov/iso/opa/atr/speeches/2011/at-speech-110516.html" TargetMode="External" /><Relationship Id="rId24" Type="http://schemas.openxmlformats.org/officeDocument/2006/relationships/hyperlink" Target="https://advance.lexis.com/api/document?collection=administrative-codes&amp;id=urn:contentItem:4Y6T-4FW0-006W-80SB-00000-00&amp;context=" TargetMode="External" /><Relationship Id="rId25" Type="http://schemas.openxmlformats.org/officeDocument/2006/relationships/hyperlink" Target="https://www.arcavision.com/Arcavision/arcalogin.jsp" TargetMode="External" /><Relationship Id="rId26" Type="http://schemas.openxmlformats.org/officeDocument/2006/relationships/hyperlink" Target="https://advance.lexis.com/api/document?collection=administrative-codes&amp;id=urn:contentItem:5C6V-V6N0-006W-80W6-00000-00&amp;context=" TargetMode="External" /><Relationship Id="rId27" Type="http://schemas.openxmlformats.org/officeDocument/2006/relationships/hyperlink" Target="https://advance.lexis.com/api/document?collection=administrative-codes&amp;id=urn:contentItem:512C-NGP0-006W-82VF-00000-00&amp;context=" TargetMode="External" /><Relationship Id="rId28" Type="http://schemas.openxmlformats.org/officeDocument/2006/relationships/hyperlink" Target="https://advance.lexis.com/api/document?collection=administrative-codes&amp;id=urn:contentItem:512C-NGP0-006W-82VH-00000-00&amp;context=" TargetMode="External" /><Relationship Id="rId29" Type="http://schemas.openxmlformats.org/officeDocument/2006/relationships/hyperlink" Target="http://www.sec.gov/rules/sro.shtml" TargetMode="External" /><Relationship Id="rId3" Type="http://schemas.openxmlformats.org/officeDocument/2006/relationships/fontTable" Target="fontTable.xml" /><Relationship Id="rId30" Type="http://schemas.openxmlformats.org/officeDocument/2006/relationships/hyperlink" Target="mailto:rule-comments@sec.gov"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0B-P9G0-006W-801C-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