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51888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151, Friday, August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51888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Koninklijke Ahold N.V. and Delhaize Group NV/SA;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151 0175]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July 22, 2016),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August 22, 2016. Write "In the Matter of Koninklijke Ahold N.V. and Delhaize Group NV/SA File No. 151-0175--Consent Agreement"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w:t>
      </w:r>
      <w:r>
        <w:rPr>
          <w:rFonts w:ascii="arial" w:eastAsia="arial" w:hAnsi="arial" w:cs="arial"/>
          <w:b/>
          <w:i w:val="0"/>
          <w:strike w:val="0"/>
          <w:noProof w:val="0"/>
          <w:color w:val="000000"/>
          <w:position w:val="0"/>
          <w:sz w:val="20"/>
          <w:u w:val="none"/>
          <w:vertAlign w:val="baseline"/>
        </w:rPr>
        <w:t> [*51889] </w:t>
      </w:r>
      <w:r>
        <w:rPr>
          <w:rFonts w:ascii="arial" w:eastAsia="arial" w:hAnsi="arial" w:cs="arial"/>
          <w:b w:val="0"/>
          <w:i w:val="0"/>
          <w:strike w:val="0"/>
          <w:noProof w:val="0"/>
          <w:color w:val="000000"/>
          <w:position w:val="0"/>
          <w:sz w:val="20"/>
          <w:u w:val="none"/>
          <w:vertAlign w:val="baseline"/>
        </w:rPr>
        <w:t xml:space="preserve">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https://ftcpublic.commentworks.com/ftc/aholddelhaizeconsent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"In the Matter of Koninklijke Ahold N.V. and Delhaize Group NV/SA File No. 151-0175--Consent Agreement"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August 22, 2016.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for public comment, subject to final approval, an Agreement Containing Consent Order ("Consent Order") from Koninklijke Ahold N.V. ("Ahold") and Delhaize Group NV/SA ("Delhaize") (collectively, the "Respondents"). Pursuant to an Agreement and Plan of Merger dated June 24, 2015, Ahold and Delhaize will combine their businesses through a merger of equals, resulting in a combined entity valued at approximately $ 28 billion ("the Merger"). The purpose of the proposed Consent Order is to remedy the anticompetitive effects that otherwise would result from the Merger. Under the terms of the proposed Consent Order, Respondents are required to divest 81 supermarkets and related assets in 46 local geographic markets (collectively, the "relevant markets") in seven states to seven Commission-approved buyers. The divestitures must be completed within a time-period ranging from 60 to 360 days following the date of the Merger. The Commission and Respondents have agreed to an Order to Maintain Assets that requires Respondents to operate and maintain each divestiture store in the normal course of business through the date the store is ultimately divested to a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has been placed on the public record for 30 days to solicit comments from interested persons. Comments received during this period will become part of the public record. After 30 days, the Commission again will review the proposed Consent Order and any comments received, and decide whether it should withdraw the Consent Order, modify the Consent Order, or make the Consent Order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Complaint alleges that the Merger, if consummated, would violate Section 7 of the Clayton Act, as amended, </w:t>
      </w:r>
      <w:hyperlink r:id="rId18"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as amended, </w:t>
      </w:r>
      <w:hyperlink r:id="rId20"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removing an actual, direct, and substantial supermarket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each of the 46 local geographic markets. The elimination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result in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specifically, the Merger will allow the merged firm to increase prices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unilaterally or through coordinated interaction among the remaining market participants. Similarly, absent a remedy, there is significant risk that the merged firm may decrease quality and service aspects of its stores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The proposed Consent Order would remedy the alleged violations by requiring divestitures to replace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be lost in the relevant markets because of the Merger.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 Ahold is a Dutch company that operates in the United States through its principal U.S. subsidiary Ahold U.S.A., Inc. As of June 24, 2015, Ahold operated 760 supermarkets in the United States under the Stop &amp; Shop, Giant, and Martin's banners. Ahold's stores are located in Connecticut, Delaware, the District of Columbia, Maryland, Massachusetts, New Jersey, New York, Pennsylvania, Rhode Island, Virginia, and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Delhaize is a Belgian company that operates in the United States through its principal U.S. subsidiary Delhaize America, LLC. As of June 24, 2015, Delhaize operated 1,291 supermarkets in the United States under the Food Lion and Hannaford banners, dispersed throughout Delaware, Georgia, Kentucky, Maine, Maryland, Massachusetts, New Hampshire, New York, North Carolina, Pennsylvania, South Carolina, Tennessee, Vermont, and West Virginia.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Retail Sale of Food and Other Grocery Products in Supermarkets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Merger presents substantial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for the retail sale of food and other grocery products in supermarkets. Supermarkets are traditional full-line retail grocery stores that sell food and non-food products that customers regularly consume at home--including, but not limited to, fresh produce and meat, dairy products, frozen foods, beverages, bakery goods, dry groceries, household products, detergents, and health and beauty products. Supermarkets also provide service options that enhance the shopping experience, including deli, butcher, seafood, bakery, and floral counters. This broad set of products and services provides consumers with a "one-stop shopping" experience by enabling them to shop in a single store for all of their food and grocery needs. The ability to offer consumers one-stop shopping is the critical difference between supermarkets and other food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relevant product market includes supermarkets within "hypermarkets" such as Walmart Supercenters. </w:t>
      </w:r>
      <w:r>
        <w:rPr>
          <w:rFonts w:ascii="arial" w:eastAsia="arial" w:hAnsi="arial" w:cs="arial"/>
          <w:b/>
          <w:i w:val="0"/>
          <w:strike w:val="0"/>
          <w:noProof w:val="0"/>
          <w:color w:val="000000"/>
          <w:position w:val="0"/>
          <w:sz w:val="20"/>
          <w:u w:val="none"/>
          <w:vertAlign w:val="baseline"/>
        </w:rPr>
        <w:t> [*51890] </w:t>
      </w:r>
      <w:r>
        <w:rPr>
          <w:rFonts w:ascii="arial" w:eastAsia="arial" w:hAnsi="arial" w:cs="arial"/>
          <w:b w:val="0"/>
          <w:i w:val="0"/>
          <w:strike w:val="0"/>
          <w:noProof w:val="0"/>
          <w:color w:val="000000"/>
          <w:position w:val="0"/>
          <w:sz w:val="20"/>
          <w:u w:val="none"/>
          <w:vertAlign w:val="baseline"/>
        </w:rPr>
        <w:t xml:space="preserve"> Hypermarkets also sell an array of products not found in traditional supermarkets. Like conventional supermarkets, however, hypermarkets contain bakeries, delis, dairy, produce, fresh meat, and sufficient product offerings to enable customers to purchase all of their weekly grocery requirements in a single shopping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types of retailers, such as hard discounters, limited assortment stores, natural and organic markets, ethnic specialty stores, and club stores, also sell food and grocery items. These types of retailers are not in the relevant product market because they offer a more limited range of products and services than supermarkets and because they appeal to a distinct customer type. Shoppers typically do not view these other food and grocery retailers as adequate substitutes for supermarkets. n2 Consistent with prior Commission precedent, the Commission has excluded these other types of retailers from the relevant product market.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That is, supermarket shoppers would be unlikely to switch to one of these other types of retailers in response to a small but significant nontransitory increase in price or "SSNIP" by a hypothetical supermarket monopolist.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DOJ and FTC Horizontal Merger Guidelines § 4.1.1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Cerberus Institutional Partners, L.P./Safeway, Inc., Docket C-4504 (Jul. 2, 2015); Bi-Lo Holdings, LLC/Delhaize America, LLC, Docket C-4440 (Feb. 25, 2014); AB Acquisition, LLC, Docket C-4424 (Dec. 23, 2013); Koninklijke Ahold N.V./Safeway Inc., Docket C-4367 (Aug. 17, 2012); Shaw's/Star Markets, Docket C-3934 (Jun. 28, 1999); Kroger/Fred Meyer, Docket C-3917 (Jan. 10, 2000); Albertson's/American Stores, Docket C-3986 (Jun. 22, 1999); Ahold/Giant, Docket C-3861 (Apr. 5, 1999); Albertson's/Buttrey, Docket C-3838 (Dec. 8, 1998); Jitney-Jungle Stores of America, Inc., Docket C-3784 (Jan. 30, 1998).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Wal-Mart/Supermercados Amigo, Docket C-4066 (Nov. 21, 2002) (the Commission's complaint alleged that in Puerto Rico, club stores should be included in a product market that included supermarkets because club stores in Puerto Rico enabled consumers to purchase substantially all of their weekly food and grocery requirements in a single shopping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geographic markets in which to analyze the effects of the Merger are areas that range from one-tenth of a mile to a ten-mile radius around each of the Respondents' supermarkets, though the majority of Respondents' overlapping supermarkets raising concerns are within six miles or less of each other. n4 The length of the radius depends on factors such as population density, traffic patterns, and other specific characteristics of each market. Where the Respondents' supermarkets are located in rural areas, the relevant geographic areas are larger than areas where the Respondents' supermarkets are located in more densely populated cities. A hypothetical monopolist of the retail sale of food and grocery products in supermarkets in each relevant area could profitably impose a small but significant nontransitory increase in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purpose of the Complaint and remedial orders, Richmond, Virginia, is considered one geographic market because of the particular facts in this case, including the extensive overlaps between the Respondents' supermarkets in Richmond and because identifying narrower relevant geographic markets in Richmond would not have changed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46 geographic markets in which to analyze the effects of the Merger are local areas in and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Lewes &amp; Rehoboth Beach, Delaware; (2) Millsboro, Delaware; (3) Millville, Delaware; (4) Accokeek, Maryland; (5) Bowie, Maryland; (6) California, Maryland; (7) Columbia, Maryland; (8) Cumberland &amp; Frostburg, Maryland; (9) Easton, Maryland; (10) Edgewater, Maryland; (11) Gaithersburg, Maryland; (12) Hagerstown (north), Maryland; (13) Hagerstown (south), Maryland; (14) La Plata, Maryland; (15) Lusby, Maryland; (16) Owings Mills, Maryland; (17) Prince Frederick, Maryland; (18) Reisterstown, Maryland; (19) Salisbury, Maryland; (20) Sykesville, Maryland; (21) Upper Marlboro, Maryland; (22) Gardner, Massachusetts; (23) Kingston, Massachusetts; (24) Mansfield &amp; South Easton, Massachusetts; (25) Milford, Massachusetts; (26) Norwell, Massachusetts; (27) Norwood &amp; Walpole, Massachusetts; (28) Quincy, Massachusetts; (29) Saugus, Massachusetts; (30) Mahopac &amp; Carmel, New York; (31) New Paltz &amp; Modena, New York; (32) Poughkeepsie &amp; Lagrangeville, New York; (33) Rhinebeck &amp; Red Hook, New York; (34) Wappingers Falls, New York; (35) Chambersburg, Pennsylvania; (36) Waynesboro, Pennsylvania; (37) York, Pennsylvania; (38) Culpeper, Virginia; (39) Fredericksburg, Virginia; (40) Front Royal, Virginia; (41) Purcellville, Virginia; (42) Richmond, Virginia; (43) Stafford, Virginia; (44) Stephens City, Virginia; (45) Winchester, Virginia; and (46) Martinsburg,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2010 Department of Justice and Federal Trade Commission Horizontal Merger Guidelines, an acquisition that results in an HHI in excess of 2,500 and increases the HHI by more than 200 significantly increases concentration in a highly concentrated market and therefore is presumed anticompetitive. With the exception of one market, n5 each of the relevant geographic markets identified above meets the Horizontal Merger Guidelines presumption. Based on the market shares of the parties and other market participants, the post-Merger HHI levels in the relevant markets vary from 2,268 to 10,000, and the HHI deltas vary from 243 to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Based on a calculation giving full weight to a third-party supermarket with a large draw area, the Merger results in a post-Merger HHI that does not meet the threshold for a highly concentrated market in the Norwood/Walpole, Massachusetts, market, even though the change in concentration is more than double the level that raises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Under calculations giving less than full weight to that supermarket, the Merger results in a highly concentrated market that meets the presumption for enhanced market power. Ultimately, an analysis of all the evidence indicates that the Merger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markets are also highly concentrated in terms of the number of remaining market participants post-Merger. Of the 46 geographic markets, the Merger will result in a merger-to-monopoly in three markets and a merger-to-duopoly in 14 markets. In the remaining markets, the Merger will reduce the number of market participants from four to three in 18 markets, from five to four in ten markets, and from seven to six in one market.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anticompetitive implications of such significant increases in market concentration are reinforced by substantial evidence demonstrating that Ahold and Delhaize are close and vigorous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terms of price, format, service, product offerings, promotional activity, and location in each of the relevant geographic markets. Absent relief, the Merger would eliminate significant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Ahold and Delhaize and would increase the ability and incentive of Ahold to raise prices unilaterally post-Merger. The Merger would also decrease incentives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non-price factors, such as service levels, convenience, and quality. Lastly, the high levels of concentration also increase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through coordinated interaction.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entry or expansion in the relevant markets is unlikely to deter or counteract the anticompetitive effects of the Merger. Even if a prospective entrant existed, the entrant must secure an economically-viable location, obtain the necessary permits and governmental approvals, build its retail establishment or renovate an existing building, and open to customers before it could begin operating and serve as a relevant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result, new entry sufficient to achieve a significant market impact and act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is unlikely to occur in a timely manner. </w:t>
      </w:r>
      <w:r>
        <w:rPr>
          <w:rFonts w:ascii="arial" w:eastAsia="arial" w:hAnsi="arial" w:cs="arial"/>
          <w:b/>
          <w:i w:val="0"/>
          <w:strike w:val="0"/>
          <w:noProof w:val="0"/>
          <w:color w:val="000000"/>
          <w:position w:val="0"/>
          <w:sz w:val="20"/>
          <w:u w:val="none"/>
          <w:vertAlign w:val="baseline"/>
        </w:rPr>
        <w:t> [*51891]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Proposed Consent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remedy, which requires the divestiture of either Ahold or Delhaize supermarkets in each relevant market to seven Commission-approved upfront buyers (the "proposed buyers") will restore fully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be eliminated in these markets as a result of the Merger. Specifically, Respondents have agreed to divest: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 store in Maryland to New Albertson's Inc. ("Albertsons");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stores in Massachusetts to Big Y Foods, Inc. ("Big 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stores in Virginia to Publix North Carolina, LP ("Publix");</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 store in Pennsylvania to Saubel's Market, Inc. ("Saubels");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 stores in Maryland, Pennsylvania, Virginia, and West Virginia to Shop N Save East, LLC ("Supervalu");</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 stores in Massachusetts and New York to Tops Markets, LLC ("Tops");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38 stores in Delaware, Maryland, and Virginia to Weis Markets Inc. ("Weis").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buyers appear to be highly suitable purchasers that are well positioned to enter the relevant geographic markets through the divested stores and prevent the increase in market concentration and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that otherwise would have resulted from the Merger. The supermarkets currently owned by the proposed buyers are all located outside the relevant geographic markets in which they are purchasing divested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Albertsons is a large supermarket chain operating over 2,200 stores around the country. Albertsons will purchase the Salisbury, Maryland, store. Big Y is a regional supermarket operator with 61 stores in Connecticut and Massachusetts. Big Y will purchase seven divested stores in Massachusetts. Publix is a large supermarket chain with approximately 1,100 supermarkets in Alabama, Florida, Georgia, North Carolina, South Carolina, and Tennessee. Publix will purchase ten divested stores in Richmond, Virginia. Saubels is a small supermarket chain with three stores in Pennsylvania and Maryland. Saubels will purchase the York, Pennsylvania, store. Tops operates 165 supermarkets in New York, Pennsylvania, and Vermont. Tops will purchase five divested stores in New York and one divested store in Massachusetts. Supervalu is a wholesale food distributor that operates corporate-owned stores. Supervalu will purchase 18 divested stores in Maryland, Pennsylvania, Virginia, and West Virginia. Because Supervalu has in the past sold or assigned its rights in corporate-owned stores to independent operators, the Order requires Supervalu to seek prior approval for any such transfer of the divested stores for a period of three years. Weis is a regional supermarket operating 163 stores in Maryland, New Jersey, New York, Pennsylvania, and West Virginia. Weis will purchase 38 divested stores in Delaware, Maryland, and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requires Respondents to divest: (a) The Salisbury, Maryland, asset to Albertsons within 60 days of the date of Merger; (b) the Massachusetts (except Gardner) assets to Big Y within 90 days from the date of the Merger; (c) the Richmond, Virginia, assets to Publix in three groupings (the first within 180 days of the date of Merger, the second within 240 days, and the third within 360 days); (d) the York, Pennsylvania, asset to Saubels within 60 days of the date of Merger; (e) the Chambersburg and Waynesboro, Pennsylvania, assets, the Hagerstown, Maryland, assets, certain of the Virginia assets, and the West Virginia assets to Supervalu within 105 days of the date of the Merger; (f) the New York and Gardner, Massachusetts, assets to Tops within 60 days of the date of the Merger; and (g) the Delaware, Maryland (except Hagerstown and Salisbury), and certain of the Virginia assets to Weis in two phases (the first within 90 days of the date of the Merger, and the second within 230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variation in divestiture date deadlines is a function of the number of stores being acquired by each proposed buyer, as those acquiring a larger number of stores have requested and need a longer acquisition and transition period than those acquiring a smaller number of stores. In the case of Publix, the divestiture schedule is extended in order to give Publix sufficient time prior to the divestitures to secure permits and approvals needed for remodeling and construction work for the store locations it is acquiring. Publix is planning to make significant improvements to the acquired stores, including rebuilding several of them, in order to conform them to a typical Publix store. In addition, the extended divestiture schedule will reduce the time periods these stores will need to be closed before being reopened as Publix stores. The proposed Consent Order and the Order to Maintain Assets require Respondents to continue operating and maintaining the divestiture stores in the normal course of business until the date that each store is sold to the proposed buyer. If, at the time before the proposed Consent Order is made final, the Commission determines that any of the proposed buyers are not acceptable buyers, Respondents must rescind the divestiture(s) and divest the assets to a different buyer that receives the Commission's prior approval.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In the case of the Richmond, Virginia, the Consent Order also provides the Commission the option to add six additional Richmond-area Ahold stores to the Richmond divestiture package, as may be needed, to secure an approvable alternative buyer for the Richmond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contains additional provisions designed to ensure the adequacy of the proposed relief. For example, Respondents have agreed to an Order to Maintain Assets that will be issued at the time the proposed Consent Order is accepted for public comment. The Order to Maintain Assets requires Ahold and Delhaize to operate and maintain each divestiture store in the normal course of business through the date the store is ultimately divested to a buyer. Since the divestiture schedule with certain stores runs for an extended period of time (potentially up to 360 days following the Merger date), the proposed Consent Order appoints Brad Wise n8 as a Monitor to oversee the Respondents' compliance with the requirements of the proposed Consent Order and Order to Maintain Assets. Brad Wise has the experience and skills to be an effective Monitor, no identifiable conflicts, and sufficient time to dedicate to this matter through its conclusion. Lastly, for a period of ten years, Ahold is required to give the Commission prior notice of plans to acquire any interest in a supermarket that has operated or is operating in the counties included in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Mr. Wise is a retired, long-time industry executive, having most recently served as President of Hannaford until his retirement in 2015. Mr. Wise currently works at pro-voke, a business consulting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sole purpose of this Analysis is to facilitate public comment on the proposed Consent Order. This Analysis does not constitute an official interpretation of the proposed Consent Order, nor does it modify its terms in any way. </w:t>
      </w:r>
      <w:r>
        <w:rPr>
          <w:rFonts w:ascii="arial" w:eastAsia="arial" w:hAnsi="arial" w:cs="arial"/>
          <w:b/>
          <w:i w:val="0"/>
          <w:strike w:val="0"/>
          <w:noProof w:val="0"/>
          <w:color w:val="000000"/>
          <w:position w:val="0"/>
          <w:sz w:val="20"/>
          <w:u w:val="none"/>
          <w:vertAlign w:val="baseline"/>
        </w:rPr>
        <w:t> [*51892]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800"/>
        <w:gridCol w:w="720"/>
        <w:gridCol w:w="840"/>
        <w:gridCol w:w="1080"/>
        <w:gridCol w:w="1080"/>
        <w:gridCol w:w="10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A</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City</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Merger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Delta</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Divested</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w:t>
            </w: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store(s)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Lewes &amp;</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D2565 &amp; D488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Rehoboth Beach</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Millsboro</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D960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Millville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D1321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Gardner</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A434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Kingston</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D8008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Mansfield &amp;</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D8382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Easton</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Milford</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D8021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Norwell</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D8020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Norwood &amp;</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to 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D8022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Walpole</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Quincy</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D8018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Saugus</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D8286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Accokeek</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D1356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Bowie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D1387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D784, D1210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D2515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Columbia</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D2598 &amp; D1529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Cumberland &amp;</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D1549 &amp; D1187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Frostburg</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Easton</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D1289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Edgewater</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D1315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Gaithersburg</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D1345 &amp; D1477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Hagerstown</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D626, D1683 &amp;</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D1180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Hagerstown</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D1147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 Plata</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D1168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Lusby</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D1443 &amp; D2606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Owings Mills</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D2535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D1526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Frederick</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Reisterstown</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D786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Salisbury</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A351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Sykesville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D1324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Marlboro</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D1535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Mahopac &amp;</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D8325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Carmel</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Paltz,</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A515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Modena &amp;</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Highland</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Poughkeepsie &amp;</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D8368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Lagrangeville</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Rhinebeck &amp;</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to 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A536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Hook</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Wappingers</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A598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Falls</w:t>
            </w: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Chambersburg</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D1527 &amp; D994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Waynesboro</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D1663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York</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D1241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Culpepper</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D250 &amp; D1567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Fredericksburg</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D358, D419,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D450, D1043,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D1177, D1235,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D1243, D1579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D2583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 Royal</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D1059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Purcellville</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D745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Richmond</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A6421, A6434,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A6433, A6498,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A6429, A6439,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A6435, A6499,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A6438 &amp; A6494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Stafford</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D578 &amp; D1166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Stephens City</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D1489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Winchester</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to 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D366, D362,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D733, D1281,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D2668 &amp; D1164</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Martinsburg</w:t>
            </w:r>
          </w:p>
        </w:tc>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to 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D1189 &amp; D2568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2016-18564 Filed 8-4-16;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August 22,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https://ftcpublic.commentworks.com/ftc/aholddelhaizeconsent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"In the Matter of Koninklijke Ahold N.V. and Delhaize Group NV/SA File No. 151-0175--Consent Agreement"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https://ftcpublic.commentworks.com/ftc/aholddelhaizeconsent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"In the Matter of Koninklijke Ahold N.V. and Delhaize Group NV/SA File No. 151-0175--Consent Agreement"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Alexis Gilman (202-326-2579) or Dan Ducore (202-326-2526),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51888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aholddelhaize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D1-9M80-006W-80F3-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69696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71344800</vt:lpwstr>
  </property>
  <property fmtid="{D5CDD505-2E9C-101B-9397-08002B2CF9AE}" pid="3" name="LADocCount">
    <vt:lpwstr>1</vt:lpwstr>
  </property>
  <property fmtid="{D5CDD505-2E9C-101B-9397-08002B2CF9AE}" pid="4" name="UserPermID">
    <vt:lpwstr>urn:user:PA185916758</vt:lpwstr>
  </property>
</Properties>
</file>