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52424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152, Monday, August 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52424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August 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Enhanced Assessment Instruments Grant Program--Enhanced Assessment Instruments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Assessment Instruments Grant Program--Enhanced Assessment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84.368A.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August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 Whalen,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Senior Advisor to the Secretary, Delegated the Duties of 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2016-18532 Filed 8-5-16;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August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August 29,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September 22,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November 21,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Enhanced Assessment Instruments Grant program, also called the Enhanced Assessment Grants (EAG) program, is to enhance the quality of assessment instruments and assessment systems used by States for measuring the academic achievement of elementary and secondary school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four absolute priorities and three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accordance with 34 CFR 75.105(b)(2)(iv), the absolute priorities are from section 6112 of the Elementary and Secondary Education Act of 1965, as amended (ESEA), as amended by the No Child Left Behind Act of 2001 (NCLB), </w:t>
      </w:r>
      <w:hyperlink r:id="rId10" w:history="1">
        <w:r>
          <w:rPr>
            <w:rFonts w:ascii="arial" w:eastAsia="arial" w:hAnsi="arial" w:cs="arial"/>
            <w:b w:val="0"/>
            <w:i/>
            <w:strike w:val="0"/>
            <w:noProof w:val="0"/>
            <w:color w:val="0077CC"/>
            <w:position w:val="0"/>
            <w:sz w:val="20"/>
            <w:u w:val="single"/>
            <w:vertAlign w:val="baseline"/>
          </w:rPr>
          <w:t>20 U.S.C. 7301a.</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the Department's notice of final priorities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priorities are absolute priorities. Under 34 CFR 75.105(c)(3) we consider only applications that meet one or more of the absolute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Collaborate with institutions of higher education, other research institutions, or other organizations to improve the quality, validity, and reliability of State academic assessments beyond the requirements for these assessments described in section 1111(b)(3) of the ESEA, as amended by NCLB.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2--Use of Multiple Measures of Student Academic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student academic achievement using multiple measures of student academic achievement from multiple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3--Charting Student Progress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Chart student progress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4--Comprehensive Academic Assessment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Evaluate student academic achievement through the development of comprehensive academic assessment instruments, such as performance- and </w:t>
      </w:r>
      <w:r>
        <w:rPr>
          <w:rFonts w:ascii="arial" w:eastAsia="arial" w:hAnsi="arial" w:cs="arial"/>
          <w:b/>
          <w:i w:val="0"/>
          <w:strike w:val="0"/>
          <w:noProof w:val="0"/>
          <w:color w:val="000000"/>
          <w:position w:val="0"/>
          <w:sz w:val="20"/>
          <w:u w:val="none"/>
          <w:vertAlign w:val="baseline"/>
        </w:rPr>
        <w:t> [*52425] </w:t>
      </w:r>
      <w:r>
        <w:rPr>
          <w:rFonts w:ascii="arial" w:eastAsia="arial" w:hAnsi="arial" w:cs="arial"/>
          <w:b w:val="0"/>
          <w:i w:val="0"/>
          <w:strike w:val="0"/>
          <w:noProof w:val="0"/>
          <w:color w:val="000000"/>
          <w:position w:val="0"/>
          <w:sz w:val="20"/>
          <w:u w:val="none"/>
          <w:vertAlign w:val="baseline"/>
        </w:rPr>
        <w:t xml:space="preserve"> technology-based academic assessments.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under 34 CFR 75.105(c)(2)(i), the Department awards up to an additional 15 points to an application, depending on how well the application meets the priority. Specifically, the Department awards up to an additional 10 points to an application depending on how well the application meets parts (a) and (c), and up to an additional five points to an application depending on how well the application meets parts (b) and (c).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under 34 CFR 75.105(c)(2)(i), the Department awards up to an additional 10 points, depending on how well the application meets the priority. Specifically, the Department awards up to an additional five points to an application depending on how well the application meets parts (a) and (c), and up to an additional five points to an application depending on how well the application meets parts (b) and (c). An applicant may choose to respond to either or both parts (a) and (b) of either of these priorities.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under 34 CFR 75.105(c)(2)(i), the Department awards up to an additional five points to an application, depending on how well the application meets this priority. An applicant may choose to respond to and earn points for how well the application meets multiple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1--Developing Innovative Assessment Item Types and Design Approaches.</w:t>
      </w:r>
      <w:r>
        <w:rPr>
          <w:rFonts w:ascii="arial" w:eastAsia="arial" w:hAnsi="arial" w:cs="arial"/>
          <w:b w:val="0"/>
          <w:i w:val="0"/>
          <w:strike w:val="0"/>
          <w:noProof w:val="0"/>
          <w:color w:val="000000"/>
          <w:position w:val="0"/>
          <w:sz w:val="20"/>
          <w:u w:val="none"/>
          <w:vertAlign w:val="baseline"/>
        </w:rPr>
        <w:t xml:space="preserve"> (Up to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SEAs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 evaluate, and implement new, innovative item types for use in summative assessments in reading/language arts, mathematics, or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Development of innovative item types under paragraph (a) may include, for example, performance tasks; simulations; or interactive, multi-step, technology-rich items that can support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assessments or portfolio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Projects under this priority must be designed to develop new methods for collecting evidence about a student's knowledge and abilities and ensure the quality, validity, reliability, and fairness (such as by incorporating principles of universal design for learning) of the assessment and comparability of student data;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 new approaches to transform traditional, end-of-year summative assessment forms with many items into a series of modular assessment forms, each with fewer items than the end-of-year summative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respond to paragraph (b), applicants must develop modular assessment approaches which can be used to provide timely feedback to educators and parents as well as be combined to provide a valid, reliable, and fair summative assessment of individual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Applicants proposing projects under either paragraph (a) or (b) must provide a dissemination plan to share lessons learned and best practices such that their projects can serve as models and resources that can be shared with other States.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2--Improving Assessment Scoring and Score Reporting.</w:t>
      </w:r>
      <w:r>
        <w:rPr>
          <w:rFonts w:ascii="arial" w:eastAsia="arial" w:hAnsi="arial" w:cs="arial"/>
          <w:b w:val="0"/>
          <w:i w:val="0"/>
          <w:strike w:val="0"/>
          <w:noProof w:val="0"/>
          <w:color w:val="000000"/>
          <w:position w:val="0"/>
          <w:sz w:val="20"/>
          <w:u w:val="none"/>
          <w:vertAlign w:val="baseline"/>
        </w:rPr>
        <w:t xml:space="preserv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priority, SEAs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 innovative tools that leverage technology to score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respond to paragraph (a), applicants must propose projects to reduce the time it takes to provide test results to educators, parents, and students and to make it more cost-effective to include non-multiple choice items on assessments. These innovative tools must improve automated scoring of student assessments, in particular non-multiple choice items in reading/language arts, mathematics, or science;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 projects, in consultation with organizations representing parents (including parents of English learners and parents of students with disabilities), students, teachers, counselors, and school administrators to address needs related to score reporting and improve the utility of information about student performance included in reports of assessment results and provide better and more timely information to educators and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respond to paragraph (b), applicants must include one or more of the following in their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Developing enhanced score reporting templates or digital mechanisms for communicating assessment results and their meaning (such as by providing clear and actionable next steps for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Improving the assessment literacy of educators and parents to help them interpret test results and to support teaching and learning in the classroom (such as by providing training on test development and interpretation of test scores);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Developing mechanisms for secure transmission and individual use of assessment results by students and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Applicants proposing projects under either paragraph (a) or (b) must provide a dissemination plan to share lessons learned and best practices such that their projects can serve as models and resources that can be shared with other States.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3--Inventory of State and Local Assessment Systems.</w:t>
      </w:r>
      <w:r>
        <w:rPr>
          <w:rFonts w:ascii="arial" w:eastAsia="arial" w:hAnsi="arial" w:cs="arial"/>
          <w:b w:val="0"/>
          <w:i w:val="0"/>
          <w:strike w:val="0"/>
          <w:noProof w:val="0"/>
          <w:color w:val="000000"/>
          <w:position w:val="0"/>
          <w:sz w:val="20"/>
          <w:u w:val="none"/>
          <w:vertAlign w:val="baseline"/>
        </w:rPr>
        <w:t xml:space="preserve"> (Up to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Under this priority, SEAs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Review statewide and local assessments to ensure that each test is of high quality, maximizes instructional goals, has a clear purpose and utility, and is designed to help students demonstrate mastery of State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Determine whether assessments are serving their intended purpose to measure student achievement and identify gaps in students' knowledge and skills and to eliminate redundant and unnecessary testing;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Review State and LEA strategies and activities related to test preparation to make sure those strategies and activities are focused on academic content and not on test-taking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 meet the requirements in paragraph (a), SEAs must ensure that tests, including statewide and local assessments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Worth taking, meaning that assessments are a component of good instruction and require students to perform the same kind of complex work they do in an effective classroom and the real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High quality, resulting in actionable, objective information about students' knowledge and skills, including by assessing the full range of relevant State standards, eliciting complex student demonstrations or applications of knowledge, providing an accurate measure of student achievement, and producing information that can be used to measure student growth accurately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Time-limited, in order to balance instructional time and the need for assessments, for example, by eliminating duplicative assessments and assessments that incentivize low-quality test preparation strategies that consume valuable classroom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Fair for all students and used to support equity in educational opportunity by ensuring that accessibility features and accommodations level the playing field so tests accurately reflect what all students, including students with disabilities and English learners, know and can do; </w:t>
      </w:r>
      <w:r>
        <w:rPr>
          <w:rFonts w:ascii="arial" w:eastAsia="arial" w:hAnsi="arial" w:cs="arial"/>
          <w:b/>
          <w:i w:val="0"/>
          <w:strike w:val="0"/>
          <w:noProof w:val="0"/>
          <w:color w:val="000000"/>
          <w:position w:val="0"/>
          <w:sz w:val="20"/>
          <w:u w:val="none"/>
          <w:vertAlign w:val="baseline"/>
        </w:rPr>
        <w:t> [*52426]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Fully transparent to students and parents, so that States and districts can clearly explain to parents the purpose, the source of the requirement (if appropriate), and the use by teachers and schools, and provide feedback to parents and students on student performance;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Tied to improving student learning as tools in the broader work of teaching and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Approaches to assessment inventories under paragraph (a) must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Review of the schedule for administration of all assessments required at the Federal, State, and local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Review of the purpose of, and legal authority for, administration of all assessments required at the Federal, State, and local levels;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Feedback on the assessment system from stakeholders, which could include information on how teachers, principals, other school leaders, and administrators use assessment data to inform and differentiate instruction, how much time teachers spend on assessment preparation and administration, and the assessments that administrators, teachers, principals, other school leaders, parents, and students do and do not find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Projects under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Must be no longer than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Must include a longer-term project plan, understanding that, beginning with FY 2017, there may be dedicated Federal funds for assessment audit work as authorized under section 1202 of the ESEA, as amended by the ESSA, and understanding that States and LEAs may use other Federal funds, such as the State assessment grant funds, authorized under section 1201 of the ESEA, as amended by the ESSA, consistent with the purposes for those funds, to implement such plans;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Must have a budget of $ 200,000 or less.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The following requirements are from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19, 2011 </w:t>
      </w:r>
      <w:hyperlink r:id="rId11" w:history="1">
        <w:r>
          <w:rPr>
            <w:rFonts w:ascii="arial" w:eastAsia="arial" w:hAnsi="arial" w:cs="arial"/>
            <w:b w:val="0"/>
            <w:i/>
            <w:strike w:val="0"/>
            <w:noProof w:val="0"/>
            <w:color w:val="0077CC"/>
            <w:position w:val="0"/>
            <w:sz w:val="20"/>
            <w:u w:val="single"/>
            <w:vertAlign w:val="baseline"/>
          </w:rPr>
          <w:t>(76 FR 21985)</w:t>
        </w:r>
      </w:hyperlink>
      <w:r>
        <w:rPr>
          <w:rFonts w:ascii="arial" w:eastAsia="arial" w:hAnsi="arial" w:cs="arial"/>
          <w:b w:val="0"/>
          <w:i w:val="0"/>
          <w:strike w:val="0"/>
          <w:noProof w:val="0"/>
          <w:color w:val="000000"/>
          <w:position w:val="0"/>
          <w:sz w:val="20"/>
          <w:u w:val="none"/>
          <w:vertAlign w:val="baseline"/>
        </w:rPr>
        <w:t xml:space="preserve"> (2011 NFP). With respect to requirement (b), the Department notes that the Race to the Top Assessment program ended in 2015. As a result, while the grantees will be expected to meet this requirement broadly, they will not need to coordinate with the Race to the Top Assessment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eligible applicant awarded a grant under this program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Evaluate the validity, reliability, and fairness of any assessments or other assessment-related instruments developed under a grant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make available documentation of evaluations of technical quality through formal mechanisms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and informal mechanisms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both in print and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Actively participate in any applicable technical assistance activities conducted or facilitated by the Department or its designees, coordinate with the Race To The Top Assessment program in the development of assessments under this program, and participate in other activities as determined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Develop a strategy to make student-level data that result from any assessments or other assessment-related instruments developed under a grant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available on an ongoing basis for research, including for prospective linking, validity, and program improvement studies;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Eligible applicants awarded a grant under this program must comply with the Family Educational Rights and Privacy Act (FERPA) and 34 CFR part 99, as well as State and local requirements regarding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Ensure that any assessments or other assessment-related instruments developed under a grant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operational (ready for large-scale administration) at the end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Ensure that funds awarded under the EAG program are not used to support the development of standards, such as under the English language proficiency assessment system priority or any other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Maximize the interoperability of any assessments and other assessment-related instruments developed with funds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across technology platforms and the ability for States to move their assessments from one technology platform to another by doing the following, as applicable, for any assessments developed with funds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Developing all assessment items in accordance with an industry-recognized, open-licensed, interoperability standard that is approved by the Department during the grant period, without non-standard extensions or additions;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Producing all student-level data in a manner consistent with an industry-recognized open-licensed interoperability standard that is approved by the Department during the grant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Unless otherwise protected by law or agreement as proprietary information, make any assessment content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assessments and assessment items) and other assessment-related instruments developed with funds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freely available to States, technology platform providers, and others that request it for purposes of administering assessments, provided that those parties receiving assessment content comply with consortium or State requirements for test or item security;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For any assessments and other assessment-related instruments developed with funds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use technology to the maximum extent appropriate to develop, administer, and score the assessments and report results.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the 2011 NFP and the notice of final priorities, requirement,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23, 2013 </w:t>
      </w:r>
      <w:hyperlink r:id="rId12" w:history="1">
        <w:r>
          <w:rPr>
            <w:rFonts w:ascii="arial" w:eastAsia="arial" w:hAnsi="arial" w:cs="arial"/>
            <w:b w:val="0"/>
            <w:i/>
            <w:strike w:val="0"/>
            <w:noProof w:val="0"/>
            <w:color w:val="0077CC"/>
            <w:position w:val="0"/>
            <w:sz w:val="20"/>
            <w:u w:val="single"/>
            <w:vertAlign w:val="baseline"/>
          </w:rPr>
          <w:t>(78 FR 31343)</w:t>
        </w:r>
      </w:hyperlink>
      <w:r>
        <w:rPr>
          <w:rFonts w:ascii="arial" w:eastAsia="arial" w:hAnsi="arial" w:cs="arial"/>
          <w:b w:val="0"/>
          <w:i w:val="0"/>
          <w:strike w:val="0"/>
          <w:noProof w:val="0"/>
          <w:color w:val="000000"/>
          <w:position w:val="0"/>
          <w:sz w:val="20"/>
          <w:u w:val="none"/>
          <w:vertAlign w:val="baseline"/>
        </w:rPr>
        <w:t xml:space="preserve"> (2013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means a child, including a child aged three and younger, who is an English learner consistent with the definition of a child who is "limited English proficient," as applicable, in section 9101(25) of the ESEA, as amended by NCLB. (2013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with a disability</w:t>
      </w:r>
      <w:r>
        <w:rPr>
          <w:rFonts w:ascii="arial" w:eastAsia="arial" w:hAnsi="arial" w:cs="arial"/>
          <w:b w:val="0"/>
          <w:i w:val="0"/>
          <w:strike w:val="0"/>
          <w:noProof w:val="0"/>
          <w:color w:val="000000"/>
          <w:position w:val="0"/>
          <w:sz w:val="20"/>
          <w:u w:val="none"/>
          <w:vertAlign w:val="baseline"/>
        </w:rPr>
        <w:t xml:space="preserve"> means a student who has been identified as a child with a disability under the Individuals with Disabilities Education Act, as amended. (2011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Section 6112 of the Elementary and Secondary Education Act of 1965 (ESEA), as amended by NCLB, and section 1203(b)(1) of the ESEA, as amended by the Every Student Succeeds Act (Pub. L. 114-95) (ESSA).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notice of final priorities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(e) The 2011 NFP and the 2013 NFP.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 </w:t>
      </w:r>
      <w:r>
        <w:rPr>
          <w:rFonts w:ascii="arial" w:eastAsia="arial" w:hAnsi="arial" w:cs="arial"/>
          <w:b/>
          <w:i w:val="0"/>
          <w:strike w:val="0"/>
          <w:noProof w:val="0"/>
          <w:color w:val="000000"/>
          <w:position w:val="0"/>
          <w:sz w:val="20"/>
          <w:u w:val="none"/>
          <w:vertAlign w:val="baseline"/>
        </w:rPr>
        <w:t> [*52427]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$ 8,860,000.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2016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$ 100,000 to $ 4,000,000.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$ 2,500,000.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48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applicants should submit a single budget and propose a project period of up to 48 months. Applicants should propose a project period that is up to 48 months, based on a timeline that takes into account the urgency of the need of the final project findings and products to be accessible to the field. Subject to the availability of future years' funds, the Department may make supplemental grant awards to grants awarded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Applicants that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may not propose a project period of greater than 12 months or a budget of greater than $ 200,000. If an applicant addresses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as well as one of the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then that portion of the proposed project period attributable to the project activities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may not exceed 12 months; and that portion of the proposed budget attributable to the project activities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may not exceed $ 200,000.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State educational agencies (SEAs) as defined in section 9101(41) of the ESEA, as amended by NCLB, and consortia of such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An application from a consortium of SEAs must designate one SEA as the fiscal agent.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Donald Peasley, Office of Elementary and Secondary Education, U.S. Department of Education, 400 Maryland Avenue SW., Room 3E124, Washington, DC 20202-6132. Telephone: (202) 453-7982 or by email: </w:t>
      </w:r>
      <w:hyperlink r:id="rId13" w:history="1">
        <w:r>
          <w:rPr>
            <w:rFonts w:ascii="arial" w:eastAsia="arial" w:hAnsi="arial" w:cs="arial"/>
            <w:b w:val="0"/>
            <w:i/>
            <w:strike w:val="0"/>
            <w:noProof w:val="0"/>
            <w:color w:val="0077CC"/>
            <w:position w:val="0"/>
            <w:sz w:val="20"/>
            <w:u w:val="single"/>
            <w:vertAlign w:val="baseline"/>
          </w:rPr>
          <w:t>Donald.Peasley@ed.gov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Page Limit: The project narrative is where you, the applicant, address the selection criteria that reviewers use to evaluate your application. You must limit the application narrative to the equivalent of no more than 65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applies to the project narrative, including the table of contents, which must include a discussion of how the application meets one or more of the absolute priorities; if applicable, how the application meets one or more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how well the application addresses each of the selection criteria. The page limit also applies to any attachments to the project narrative other than the items mentioned in Part 6 of the application package, including the references/bibliography. In other words, the entirety of the project narrative, including the aforementioned discussion and any attachments to the project narrative, must be limited to the equivalent of no more than 65 pages. The only allowable attachments other than those included in the project narrative are outlined in Part 6, "Other Attachments Forms," in the application package. Any attachments other than those included within the page limit of the project narrative and those outlined in Part 6 will not be reviewed.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65-page limit, or its equivalent, does not apply to the following sections of an application: Part 1 (including the response regarding research activities involving human subjects); Part 2 (budget information); Part 3 (two-page project abstract); Part 5 (the budget narrative); Part 6 (memoranda of understanding or other binding agreement, if applicable; copy of applicant's indirect cost rate agreement; letters of commitment and support from collaborating SEAs and organizations; other attachments forms, including, if applicable, references/bibliography for the project narrative and individual resumes for project director(s) and key personnel); and Part 7 (standard assurances and certifications). Applicants are encouraged to limit each resume to no more than five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 not use hyperlinks in an application. Reviewers will be instructed not to follow hyperlinks if included. Our reviewers will not read any pages of your project narrative that exceed the page limit, or the equivalent of the page limit if you apply other standards. Applicants are encouraged to submit applications that meet the page limit following the standards outlined in this section rather than submitting applications that are the equivalent of the page limit applying other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August 8,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August 29,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have a better understanding of the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Therefore, we strongly encourage each potential applicant to notify us of the applicant's intent to submit an application for funding. This notification should be brief, and identify the SEA applicant and, if applicable, the SEA that it will designate as the fiscal agent for an award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case of consortia applicants). Submit this notification by email to </w:t>
      </w:r>
      <w:hyperlink r:id="rId13" w:history="1">
        <w:r>
          <w:rPr>
            <w:rFonts w:ascii="arial" w:eastAsia="arial" w:hAnsi="arial" w:cs="arial"/>
            <w:b w:val="0"/>
            <w:i/>
            <w:strike w:val="0"/>
            <w:noProof w:val="0"/>
            <w:color w:val="0077CC"/>
            <w:position w:val="0"/>
            <w:sz w:val="20"/>
            <w:u w:val="single"/>
            <w:vertAlign w:val="baseline"/>
          </w:rPr>
          <w:t>Donald.Peasley@ed.gov</w:t>
        </w:r>
      </w:hyperlink>
      <w:r>
        <w:rPr>
          <w:rFonts w:ascii="arial" w:eastAsia="arial" w:hAnsi="arial" w:cs="arial"/>
          <w:b w:val="0"/>
          <w:i w:val="0"/>
          <w:strike w:val="0"/>
          <w:noProof w:val="0"/>
          <w:color w:val="000000"/>
          <w:position w:val="0"/>
          <w:sz w:val="20"/>
          <w:u w:val="none"/>
          <w:vertAlign w:val="baseline"/>
        </w:rPr>
        <w:t xml:space="preserve"> with "Intent to Apply" in the email subject line or mail to Donald Peasley, U.S. Department of Education, 400 Maryland Avenue SW., Room 3E124, Washington, DC 20202-6132. Applicants that do not provide this email notification may still apply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September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(Grants.gov).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i w:val="0"/>
          <w:strike w:val="0"/>
          <w:noProof w:val="0"/>
          <w:color w:val="000000"/>
          <w:position w:val="0"/>
          <w:sz w:val="20"/>
          <w:u w:val="none"/>
          <w:vertAlign w:val="baseline"/>
        </w:rPr>
        <w:t> [*52428]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November 21,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4"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5"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16"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EAG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84.368A,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1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EAG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www.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84.326, not 84.326A).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18"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r>
        <w:rPr>
          <w:rFonts w:ascii="arial" w:eastAsia="arial" w:hAnsi="arial" w:cs="arial"/>
          <w:b/>
          <w:i w:val="0"/>
          <w:strike w:val="0"/>
          <w:noProof w:val="0"/>
          <w:color w:val="000000"/>
          <w:position w:val="0"/>
          <w:sz w:val="20"/>
          <w:u w:val="none"/>
          <w:vertAlign w:val="baseline"/>
        </w:rPr>
        <w:t> [*52429]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Donald Peasley, U.S. Department of Education, 400 Maryland Avenue SW., Room 3E124, Washington, DC 20202-6132. FAX: (202) 401-1557.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w:t>
      </w:r>
      <w:r>
        <w:rPr>
          <w:rFonts w:ascii="arial" w:eastAsia="arial" w:hAnsi="arial" w:cs="arial"/>
          <w:b w:val="0"/>
          <w:i/>
          <w:strike w:val="0"/>
          <w:noProof w:val="0"/>
          <w:color w:val="000000"/>
          <w:position w:val="0"/>
          <w:sz w:val="20"/>
          <w:u w:val="none"/>
          <w:vertAlign w:val="baseline"/>
        </w:rPr>
        <w:t>Attention:</w:t>
      </w:r>
      <w:r>
        <w:rPr>
          <w:rFonts w:ascii="arial" w:eastAsia="arial" w:hAnsi="arial" w:cs="arial"/>
          <w:b w:val="0"/>
          <w:i w:val="0"/>
          <w:strike w:val="0"/>
          <w:noProof w:val="0"/>
          <w:color w:val="000000"/>
          <w:position w:val="0"/>
          <w:sz w:val="20"/>
          <w:u w:val="none"/>
          <w:vertAlign w:val="baseline"/>
        </w:rPr>
        <w:t xml:space="preserve"> (CFDA Number 84.368A),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 dated shipping label, invoice, or receipt from a commercial carrier. </w:t>
      </w:r>
      <w:r>
        <w:rPr>
          <w:rFonts w:ascii="arial" w:eastAsia="arial" w:hAnsi="arial" w:cs="arial"/>
          <w:b/>
          <w:i w:val="0"/>
          <w:strike w:val="0"/>
          <w:noProof w:val="0"/>
          <w:color w:val="000000"/>
          <w:position w:val="0"/>
          <w:sz w:val="20"/>
          <w:u w:val="none"/>
          <w:vertAlign w:val="baseline"/>
        </w:rPr>
        <w:t> [*52430]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w:t>
      </w:r>
      <w:r>
        <w:rPr>
          <w:rFonts w:ascii="arial" w:eastAsia="arial" w:hAnsi="arial" w:cs="arial"/>
          <w:b w:val="0"/>
          <w:i/>
          <w:strike w:val="0"/>
          <w:noProof w:val="0"/>
          <w:color w:val="000000"/>
          <w:position w:val="0"/>
          <w:sz w:val="20"/>
          <w:u w:val="none"/>
          <w:vertAlign w:val="baseline"/>
        </w:rPr>
        <w:t>Attention:</w:t>
      </w:r>
      <w:r>
        <w:rPr>
          <w:rFonts w:ascii="arial" w:eastAsia="arial" w:hAnsi="arial" w:cs="arial"/>
          <w:b w:val="0"/>
          <w:i w:val="0"/>
          <w:strike w:val="0"/>
          <w:noProof w:val="0"/>
          <w:color w:val="000000"/>
          <w:position w:val="0"/>
          <w:sz w:val="20"/>
          <w:u w:val="none"/>
          <w:vertAlign w:val="baseline"/>
        </w:rPr>
        <w:t xml:space="preserve"> (CFDA Number 84.368A),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75.210. We will award up to 120 points to an application under the selection criteria; the total possible points for each selection criterion are noted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Need for project.</w:t>
      </w:r>
      <w:r>
        <w:rPr>
          <w:rFonts w:ascii="arial" w:eastAsia="arial" w:hAnsi="arial" w:cs="arial"/>
          <w:b w:val="0"/>
          <w:i w:val="0"/>
          <w:strike w:val="0"/>
          <w:noProof w:val="0"/>
          <w:color w:val="000000"/>
          <w:position w:val="0"/>
          <w:sz w:val="20"/>
          <w:u w:val="none"/>
          <w:vertAlign w:val="baseline"/>
        </w:rPr>
        <w:t xml:space="preserv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need for the proposed project. In determining the need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magnitude of severity of the problem to be addressed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magnitude of the need for the services to be provided or the activities to be carried out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specific gaps or weaknesses in services, infrastructure, or opportunities have been identified and will be addressed by the proposed project, including the nature and magnitude of those gaps or weaknesses.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Significance.</w:t>
      </w:r>
      <w:r>
        <w:rPr>
          <w:rFonts w:ascii="arial" w:eastAsia="arial" w:hAnsi="arial" w:cs="arial"/>
          <w:b w:val="0"/>
          <w:i w:val="0"/>
          <w:strike w:val="0"/>
          <w:noProof w:val="0"/>
          <w:color w:val="000000"/>
          <w:position w:val="0"/>
          <w:sz w:val="20"/>
          <w:u w:val="none"/>
          <w:vertAlign w:val="baseline"/>
        </w:rPr>
        <w:t xml:space="preserve">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significance of the proposed project.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significance of the problem or issue to be addressed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potential contribution of the proposed project to the development and advancement of theory, knowledge, and practices in the field of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potential for generalizing from the findings or results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proposed project involves the development or demonstration of promising new strategies that build on, or are alternatives to, existing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likely utility of the products (such as information, materials, processes, or techniques) that will result from the proposed project, including the potential for their being used effectively in a variety of other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project design.</w:t>
      </w:r>
      <w:r>
        <w:rPr>
          <w:rFonts w:ascii="arial" w:eastAsia="arial" w:hAnsi="arial" w:cs="arial"/>
          <w:b w:val="0"/>
          <w:i w:val="0"/>
          <w:strike w:val="0"/>
          <w:noProof w:val="0"/>
          <w:color w:val="000000"/>
          <w:position w:val="0"/>
          <w:sz w:val="20"/>
          <w:u w:val="none"/>
          <w:vertAlign w:val="baseline"/>
        </w:rPr>
        <w:t xml:space="preserve"> (35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 In determining the quality of the design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there is a conceptual framework underlying the proposed research or demonstration activities and the quality of that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activities constitute a coherent, sustained, program of research and development in the field, including, as appropriate, a substantial addition to an ongoing line of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proposed project is based upon a specific research design, and the quality and appropriateness of that design, including the scientific rigor of the studies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proposed development efforts include adequate quality controls and, as appropriate, repeated testing of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extent to which the design of the proposed project reflects up-to-date knowledge from research and effective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quality of the methodology to be employed in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potential and planning for the incorporation of project purposes, activities, or benefits into the ongoing work of the applicant beyond the end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project services.</w:t>
      </w:r>
      <w:r>
        <w:rPr>
          <w:rFonts w:ascii="arial" w:eastAsia="arial" w:hAnsi="arial" w:cs="arial"/>
          <w:b w:val="0"/>
          <w:i w:val="0"/>
          <w:strike w:val="0"/>
          <w:noProof w:val="0"/>
          <w:color w:val="000000"/>
          <w:position w:val="0"/>
          <w:sz w:val="20"/>
          <w:u w:val="none"/>
          <w:vertAlign w:val="baseline"/>
        </w:rPr>
        <w:t xml:space="preserve">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services to be provided by the proposed project. In determining the quality of the services to be provided by the proposed project, the Secretary considers the quality and sufficiency of strategies for ensuring equal access and treatment for eligible project participants who are members of groups that have traditionally been underrepresented based on race, color, national origin, gender, age, or disability.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training or professional development services to be provided by the proposed project are of sufficient quality, intensity, and duration to lead to improvements in practice among the recipients of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likelihood that the services to be provided by the proposed project will lead to improvements in the achievement of students as measured against rigorous academic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project personnel.</w:t>
      </w:r>
      <w:r>
        <w:rPr>
          <w:rFonts w:ascii="arial" w:eastAsia="arial" w:hAnsi="arial" w:cs="arial"/>
          <w:b w:val="0"/>
          <w:i w:val="0"/>
          <w:strike w:val="0"/>
          <w:noProof w:val="0"/>
          <w:color w:val="000000"/>
          <w:position w:val="0"/>
          <w:sz w:val="20"/>
          <w:u w:val="none"/>
          <w:vertAlign w:val="baseline"/>
        </w:rPr>
        <w:t xml:space="preserve"> (8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personnel who will carry out the proposed project.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qualifications, including relevant training and experience, of the project director or principal investigator.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qualifications, including relevant training and experience, of key project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qualifications, including relevant training and experience, of project consultants or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Adequacy of resources.</w:t>
      </w:r>
      <w:r>
        <w:rPr>
          <w:rFonts w:ascii="arial" w:eastAsia="arial" w:hAnsi="arial" w:cs="arial"/>
          <w:b w:val="0"/>
          <w:i w:val="0"/>
          <w:strike w:val="0"/>
          <w:noProof w:val="0"/>
          <w:color w:val="000000"/>
          <w:position w:val="0"/>
          <w:sz w:val="20"/>
          <w:u w:val="none"/>
          <w:vertAlign w:val="baseline"/>
        </w:rPr>
        <w:t xml:space="preserve"> (12 points) </w:t>
      </w:r>
      <w:r>
        <w:rPr>
          <w:rFonts w:ascii="arial" w:eastAsia="arial" w:hAnsi="arial" w:cs="arial"/>
          <w:b/>
          <w:i w:val="0"/>
          <w:strike w:val="0"/>
          <w:noProof w:val="0"/>
          <w:color w:val="000000"/>
          <w:position w:val="0"/>
          <w:sz w:val="20"/>
          <w:u w:val="none"/>
          <w:vertAlign w:val="baseline"/>
        </w:rPr>
        <w:t> [*52431]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adequacy of resources for the proposed project. In determining the adequacy of resources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support, including facilities, equipment, supplies, and other resources, from the application organization or the lead applicant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relevance and demonstrated commitment of each partner in the proposed project to the implementation and success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budget is adequate to support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costs are reasonable in relation to the objectives, design, and potential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Quality of the management plan.</w:t>
      </w:r>
      <w:r>
        <w:rPr>
          <w:rFonts w:ascii="arial" w:eastAsia="arial" w:hAnsi="arial" w:cs="arial"/>
          <w:b w:val="0"/>
          <w:i w:val="0"/>
          <w:strike w:val="0"/>
          <w:noProof w:val="0"/>
          <w:color w:val="000000"/>
          <w:position w:val="0"/>
          <w:sz w:val="20"/>
          <w:u w:val="none"/>
          <w:vertAlign w:val="baseline"/>
        </w:rPr>
        <w:t xml:space="preserve"> (12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procedures for ensuring feedback and continuous improvement in the operation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adequacy of mechanisms for ensuring high-quality products and services from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time commitments of the project director and principal investigator and other key project personnel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methods of evaluation include the use of objective performance measures that are clearly related to the intended outcomes of the project and will produce quantitative and qualitative data to the extent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methods of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evaluation will provide guidance about effective strategies suitable for replication or testing in other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Strategy to scale.</w:t>
      </w:r>
      <w:r>
        <w:rPr>
          <w:rFonts w:ascii="arial" w:eastAsia="arial" w:hAnsi="arial" w:cs="arial"/>
          <w:b w:val="0"/>
          <w:i w:val="0"/>
          <w:strike w:val="0"/>
          <w:noProof w:val="0"/>
          <w:color w:val="000000"/>
          <w:position w:val="0"/>
          <w:sz w:val="20"/>
          <w:u w:val="none"/>
          <w:vertAlign w:val="baseline"/>
        </w:rPr>
        <w:t xml:space="preserve"> (8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applicant's strategy to scale the proposed project. In determining the applicant's capacity to scale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applicant's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terms of qualified personnel, financial resources, or management capacity) to further develop and bring to scale the proposed process, product, strategy, or practice, or to work with others to ensure that the proposed process, product, strategy, or practice can be further developed and brought to scale, based on the findings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mechanisms the applicant will use to broadly disseminate information on its project so as to support further development or replication.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applicant demonstrates there is unmet demand for the process, product, strategy, or practice that will enable the applicant to reach the level of scale that is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w:t>
      </w:r>
      <w:r>
        <w:rPr>
          <w:rFonts w:ascii="arial" w:eastAsia="arial" w:hAnsi="arial" w:cs="arial"/>
          <w:b/>
          <w:i w:val="0"/>
          <w:strike w:val="0"/>
          <w:noProof w:val="0"/>
          <w:color w:val="000000"/>
          <w:position w:val="0"/>
          <w:sz w:val="20"/>
          <w:u w:val="none"/>
          <w:vertAlign w:val="baseline"/>
        </w:rPr>
        <w:t> [*52432] </w:t>
      </w:r>
      <w:r>
        <w:rPr>
          <w:rFonts w:ascii="arial" w:eastAsia="arial" w:hAnsi="arial" w:cs="arial"/>
          <w:b w:val="0"/>
          <w:i w:val="0"/>
          <w:strike w:val="0"/>
          <w:noProof w:val="0"/>
          <w:color w:val="000000"/>
          <w:position w:val="0"/>
          <w:sz w:val="20"/>
          <w:u w:val="none"/>
          <w:vertAlign w:val="baseline"/>
        </w:rPr>
        <w:t xml:space="preserv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Department has developed four measures to evaluate the overall effectiveness of the EAG program: (1) The number of States that participate in EAG projects funded by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(2) the percentage of grantees that, at least twice during the period of their grants, make available to SEA staff in non-participating States and to assessment researchers information on findings resulting from the EAG through presentations at national conferences, publications in refereed journals, or other products disseminated to the assessment community; (3) for each grant cycle and as determined by an expert panel, the percentage of EAG that yield significant research, methodologies, products, or tools regarding assessment systems or assessments; and (4) for each grant cycle and as determined by an expert panel, the percentage of EAG that yield significant research, methodologies, products, or tools specifically regarding accommodations and alternate assessments for students with disabilities and limited English proficient students. Grantees will be expected to include in their interim and final performance reports information about the accomplishments of their projects because the Department will need data on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Donald Peasley, U.S. Department of Education, 400 Maryland Avenue SW., Room 3e124, Washington, DC 20202-6132. Telephone: (202) 453-7982 or by email: </w:t>
      </w:r>
      <w:hyperlink r:id="rId13" w:history="1">
        <w:r>
          <w:rPr>
            <w:rFonts w:ascii="arial" w:eastAsia="arial" w:hAnsi="arial" w:cs="arial"/>
            <w:b w:val="0"/>
            <w:i/>
            <w:strike w:val="0"/>
            <w:noProof w:val="0"/>
            <w:color w:val="0077CC"/>
            <w:position w:val="0"/>
            <w:sz w:val="20"/>
            <w:u w:val="single"/>
            <w:vertAlign w:val="baseline"/>
          </w:rPr>
          <w:t>Donald.Peasley@ed.gov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52424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51-NRF4-428G-00000-00&amp;context=" TargetMode="External" /><Relationship Id="rId11" Type="http://schemas.openxmlformats.org/officeDocument/2006/relationships/hyperlink" Target="https://advance.lexis.com/api/document?collection=administrative-codes&amp;id=urn:contentItem:52NC-CF30-006W-80SN-00000-00&amp;context=" TargetMode="External" /><Relationship Id="rId12" Type="http://schemas.openxmlformats.org/officeDocument/2006/relationships/hyperlink" Target="https://advance.lexis.com/api/document?collection=administrative-codes&amp;id=urn:contentItem:58GH-T430-006W-840K-00000-00&amp;context=" TargetMode="External" /><Relationship Id="rId13" Type="http://schemas.openxmlformats.org/officeDocument/2006/relationships/hyperlink" Target="mailto:Donald.Peasley@ed.gov" TargetMode="External" /><Relationship Id="rId14" Type="http://schemas.openxmlformats.org/officeDocument/2006/relationships/hyperlink" Target="http://fedgov.dnb.com/webform" TargetMode="External" /><Relationship Id="rId15" Type="http://schemas.openxmlformats.org/officeDocument/2006/relationships/hyperlink" Target="http://www.SAM.gov" TargetMode="External" /><Relationship Id="rId16" Type="http://schemas.openxmlformats.org/officeDocument/2006/relationships/hyperlink" Target="http://www.grants.gov/web/grants/register.html" TargetMode="External" /><Relationship Id="rId17" Type="http://schemas.openxmlformats.org/officeDocument/2006/relationships/hyperlink" Target="http://www.Grants.gov" TargetMode="External" /><Relationship Id="rId18" Type="http://schemas.openxmlformats.org/officeDocument/2006/relationships/hyperlink" Target="http://www.G5.gov" TargetMode="External" /><Relationship Id="rId19" Type="http://schemas.openxmlformats.org/officeDocument/2006/relationships/hyperlink" Target="http://www.grants.gov/web/grants/applicants/apply-for-grants.html" TargetMode="External" /><Relationship Id="rId2" Type="http://schemas.openxmlformats.org/officeDocument/2006/relationships/webSettings" Target="webSettings.xml" /><Relationship Id="rId20" Type="http://schemas.openxmlformats.org/officeDocument/2006/relationships/hyperlink" Target="http://www.ed.gov/fund/grant/apply/appforms/appforms.html"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DM-WDR0-006W-80K0-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26330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