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54056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157, Monday, August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54056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Performance Partnership Pilots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Partnership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84.420A.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September 29,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Submission of a notice of intent to apply is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October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Performance Partnership Pilots (P3), first authorized by Congress for FY 2014 by the Consolidated Appropriations Act, 2014 (2014 Appropriations Act) and reauthorized for FY 2015 by the Consolidated and Further Continuing Appropriations Act, 2015 (2015 Appropriations Act) and for FY 2016 by the Consolidated Appropriations Act, 2016 (2016 Appropriations Act) (together, the Acts), enable pilot sites to test innovative, outcome-focused strategies to achieve significant improvements in educational, employment, and other key outcomes for disconnected youth using new flexibility to blend existing Federal funds and to seek waivers of associated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Acts authorize the Departments of Education (ED or the Department), Labor (DOL), Health and Human Services (HHS), Housing and Urban Development (HUD), n1 and Justice (DOJ), n2 the Corporation for National and Community Service (CNCS), and the Institute of Museum and Library Services (IMLS) (collectively, the Agencies), to enter into Performance Partnership Agreements (performance agreements) with State, local, or tribal governments to provide additional flexibility in using certain of the Agencies' discretionary funds, n3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formula grant funds, across multiple Federal programs. Entities that seek to participate in these pilots will be required to commit to achieving significant improvements in outcomes for disconnected youth in exchange for this new flexibility. The authorizing statute states that " [t]o improve outcomes for disconnected youth' means to increase the rate at which individuals between the ages of 14 and 24 (who are low-income and either homeless, in foster care, involved in the juvenile justice system, unemployed, or not enrolled in or at risk of dropping out of an educational institution) achieve success in meeting educational, employment, or other key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2016 Appropriations Act authorizes HUD to enter into performance agreements with respect to FY 2016 Homeless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DOJ's Office of Justice Programs was first authorized to enter into performance agreements by the 2015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Discretionary funds are funds that Congress appropriates on an annual basis, rather than through a standing authorization. They exclude "entitlement" (or mandatory) programs such as Social Security, Medicare, Medicaid, most Foster Care IV-E programs, Vocational Rehabilitation State Grants, and Temporary Assistance to Needy Families (TANF). Discretionary programs administered by the Agencies support a broad set of public services, including education, job training, health and mental health, and other low-income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and community partners have invested considerable attention and resources to meet the needs of disconnected youth. However, practitioners, youth advocates, and others on the front lines of service delivery have observed that flexibility can be a key tool to address certain programmatic and administrative obstacles to achieving meaningful improvements in education, employment, health, and well-being for these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P3 tests the hypothesis that additional flexibility for States, local governments, and tribes, in the form of blending funds and waivers of certain programmatic requirements, can help overcome some of the significant hurdles that States, local governments, and tribes face in providing intensive, comprehensive, and sustained service pathways and improving outcomes for disconnected youth. For example, P3 can be used to better coordinate and align the multiple systems that serve youth. P3 may help address the "wrong pockets" problem, where entities that observe improved outcomes or other benefits due to an intervention are unable to use Federal funds to support that intervention due to program restrictions. P3 flexibility may also allow the testing of an innovative approach to help build additional evidence about what works. If this hypothesis proves true, providing necessary and targeted flexibility to remove or overcome these hurdles will help to achieve significant benefits for disconnected youth, the communities that serve them, and the involved agencies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definition of "disconnected youth" specifically identifies several high-need subpopulations of low-income youth, including youth who are homeless, youth in foster care, youth involved in the juvenile justice system, and youth who are unemployed or not in school or at risk of dropping out. We wish to note that there are a number of other high-need subpopulations of disconnected youth who are not specifically enumerated in statute but are also at risk of dropping out. For example, English learners (ELs) are at great risk of dropping out; the average cohort graduation rate for ELs during the 2013-14 school year was only 62.6 percent, while the national average cohort </w:t>
      </w:r>
      <w:r>
        <w:rPr>
          <w:rFonts w:ascii="arial" w:eastAsia="arial" w:hAnsi="arial" w:cs="arial"/>
          <w:b/>
          <w:i w:val="0"/>
          <w:strike w:val="0"/>
          <w:noProof w:val="0"/>
          <w:color w:val="000000"/>
          <w:position w:val="0"/>
          <w:sz w:val="20"/>
          <w:u w:val="none"/>
          <w:vertAlign w:val="baseline"/>
        </w:rPr>
        <w:t> [*54057] </w:t>
      </w:r>
      <w:r>
        <w:rPr>
          <w:rFonts w:ascii="arial" w:eastAsia="arial" w:hAnsi="arial" w:cs="arial"/>
          <w:b w:val="0"/>
          <w:i w:val="0"/>
          <w:strike w:val="0"/>
          <w:noProof w:val="0"/>
          <w:color w:val="000000"/>
          <w:position w:val="0"/>
          <w:sz w:val="20"/>
          <w:u w:val="none"/>
          <w:vertAlign w:val="baseline"/>
        </w:rPr>
        <w:t xml:space="preserve"> graduation rate for all youth was 82.3 percent. Similarly, the average cohort graduation rate for youth with a disability receiving special education and related services under the Individuals with Disabilities Education Act (IDEA) was significantly lower than that of youth who did not receive services under IDEA: 63.1 percent during the 2013-14 school year. n4 Immigrants and refugees are another high-need subpopulation at great risk of dropping out. In 2014, the status dropout rate of immigrant youth ages 16 to 24 was 12 percent, compared with 8 percent for children of foreign-born parents, and 6 percent for children with native-born parents. n5 Students in foster care also are at great risk of dropping out. A 2014 study that examined cross-sectional data on California students who were in foster care at some point during the 2009-10 school year found that the single-year dropout rate for California students in foster care was more than 8 percent, nearly three times higher than the statewide dropout rate (3 percent). n6 Applicants wishing to serve a subpopulation of disconnected youth not otherwise named in the statutory definition---such as the examples above--should consider whether that subpopulation faces an elevated risk of dropping out based on sound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EDFacts/Consolidated State Performance Report, School Year 2013-14. Retrieved from </w:t>
      </w:r>
      <w:r>
        <w:rPr>
          <w:rFonts w:ascii="arial" w:eastAsia="arial" w:hAnsi="arial" w:cs="arial"/>
          <w:b w:val="0"/>
          <w:i/>
          <w:strike w:val="0"/>
          <w:noProof w:val="0"/>
          <w:color w:val="000000"/>
          <w:position w:val="0"/>
          <w:sz w:val="20"/>
          <w:u w:val="none"/>
          <w:vertAlign w:val="baseline"/>
        </w:rPr>
        <w:t>nces.ed.gov/ccd/tables/ACGR_RE_and_characteristics_2013-14.asp</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Child Trends Data Bank (2015). High School Dropout Rates. Retrieved from </w:t>
      </w:r>
      <w:hyperlink r:id="rId8" w:history="1">
        <w:r>
          <w:rPr>
            <w:rFonts w:ascii="arial" w:eastAsia="arial" w:hAnsi="arial" w:cs="arial"/>
            <w:b w:val="0"/>
            <w:i/>
            <w:strike w:val="0"/>
            <w:noProof w:val="0"/>
            <w:color w:val="0077CC"/>
            <w:position w:val="0"/>
            <w:sz w:val="20"/>
            <w:u w:val="single"/>
            <w:vertAlign w:val="baseline"/>
          </w:rPr>
          <w:t>www.childtrends.org/wp-content/uploads/2014/10/01_Dropout_Rates.pdf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Wiegmann, 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Invisible Achievement Gap Part 2: How the Foster Care Experiences of California Public School Students Are Associated with Their Education Outcomes. Retrieved from </w:t>
      </w:r>
      <w:hyperlink r:id="rId9" w:history="1">
        <w:r>
          <w:rPr>
            <w:rFonts w:ascii="arial" w:eastAsia="arial" w:hAnsi="arial" w:cs="arial"/>
            <w:b w:val="0"/>
            <w:i/>
            <w:strike w:val="0"/>
            <w:noProof w:val="0"/>
            <w:color w:val="0077CC"/>
            <w:position w:val="0"/>
            <w:sz w:val="20"/>
            <w:u w:val="single"/>
            <w:vertAlign w:val="baseline"/>
          </w:rPr>
          <w:t>www.stuartfoundation.org/wp-content/uploads/2016/04/IAGpart2.pdf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FY 2016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invites applications for a third round of pilots as authorized by the 2016 Appropriations Act. That act extended the P3 authority to allow pilots to blend and/or seek waivers under eligible FY 2016 funds from programs at ED, DOL, HHS, CNCS, IMLS, HUD, and DOJ.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Assistance Act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Appropriations Act authorizes the inclusion in P3 of McKinney-Vento Act Homeless Assistance Grants administered by HUD, including the Continuum of Care (CoC) Program and Emergency Solutions Grant Program (ESG), in up to 10 CoCs. The CoC Program is designed to assist individuals (including unaccompanied youth) and families experiencing homelessness and to provide the services needed to help such individuals move into housing, with the goal of long-term stability. n7 In local communities, the group tasked with carrying out the responsibilities of the CoC Program for a defined geographic area, including ensuring that all resources used to prevent and end homelessness within that geographic area are allocated strategically, is called the CoC. This group consists of a coalition of community stakeholders with an interest in preventing and ending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expect that pilots that include Homeless Assistance Grant funding will include their local CoC's input and engagement in identifying gaps and needs in the community for housing and serving disconnected youth experiencing homelessness. The Agencies further expect that the pilots will address these CoC-identified needs and that the CoCs will have approved the use of grant funds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absolute priorities create separate categories for scoring and considering applications. Applicants must select one of these absolute priorities. Because a diverse group of communities could benefit from P3, we include absolute priorities for applications that propose to serve disconnected youth in one or more rural communities only (Absolute Priority 2), applications that propose to serve disconnected youth in one or more Indian tribal communities (Absolute Priority 3), and applications that propose to serve disconnected youth in other communities (Absolute Priority 1). P3 is intended, through a demonstration, to identify effective strategies for serving disconnected youth. We are aware such strategies may differ across environments and wish to test the authority in a variety of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FY 2016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also including an absolute priority for communities that have experienced recent civil unrest (Absolute Priority 4), consistent with requirements of the 2016 Appropriations Act. Though the economy has recovered strongly in many places, many communities continue to struggle with high youth unemployment, low graduation rates, and crime. These and other continuing challenges can manifest in different instances of civil unrest, such as large protests or instances of civil disobedience, increases in self-directed or interpersonal violence in concentrated areas, or civic disorder prompted by a public health emergency. In response to the priority, an applicant should describe the instance(s) of civil unrest, including (1) a description of the civil unrest that occurred in the community or communities it intends to serve; and (2) the date or dates the civil unrest occurred. We include this priority in the FY 2016 P3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hopes that P3 flexibilities, including waivers and the blending of funds, will empower communities to improve educational and employment outcomes for disconnected youth in these communities. Under </w:t>
      </w:r>
      <w:hyperlink r:id="rId1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2, 3, or 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allow applicants to receive extra points for satisfying certain criteria.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absolute priorities, we also include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are likely to result in significantly better educational or employment outcomes for those disconnected youth who are neither employed nor enrolled in education and who also face significant barriers to accessing education and employment. Involvement with the justice system is an example of a significant barrier to education and employment for youth who are neither employed nor enrolled in school. Many youth involved with the justice system face significant barriers to accessing the education and training they need to achieve independence and reintegrate into the community because the education and training available to them through correctional facilities, as well as upon release, often does not meet their needs. n8 For older youth involved with the adult criminal justice system, having a criminal record can severely limit the ability to secure employment. n9 Reconnecting these young people to education and employment is a national imperative, and including this priority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will create incentives for applicants and </w:t>
      </w:r>
      <w:r>
        <w:rPr>
          <w:rFonts w:ascii="arial" w:eastAsia="arial" w:hAnsi="arial" w:cs="arial"/>
          <w:b/>
          <w:i w:val="0"/>
          <w:strike w:val="0"/>
          <w:noProof w:val="0"/>
          <w:color w:val="000000"/>
          <w:position w:val="0"/>
          <w:sz w:val="20"/>
          <w:u w:val="none"/>
          <w:vertAlign w:val="baseline"/>
        </w:rPr>
        <w:t> [*54058] </w:t>
      </w:r>
      <w:r>
        <w:rPr>
          <w:rFonts w:ascii="arial" w:eastAsia="arial" w:hAnsi="arial" w:cs="arial"/>
          <w:b w:val="0"/>
          <w:i w:val="0"/>
          <w:strike w:val="0"/>
          <w:noProof w:val="0"/>
          <w:color w:val="000000"/>
          <w:position w:val="0"/>
          <w:sz w:val="20"/>
          <w:u w:val="none"/>
          <w:vertAlign w:val="baseline"/>
        </w:rPr>
        <w:t xml:space="preserve"> communities to design projects to serve this hard-to-reach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for example, Juvenile Justice Students Face Barriers to High School Graduation and Job Training (2010). Report No. 10-55. Tallahassee, FL: Office of Program Policy Analysis and Government Accountability, the Florida Legislature. Retrieved from: </w:t>
      </w:r>
      <w:hyperlink r:id="rId11" w:history="1">
        <w:r>
          <w:rPr>
            <w:rFonts w:ascii="arial" w:eastAsia="arial" w:hAnsi="arial" w:cs="arial"/>
            <w:b w:val="0"/>
            <w:i/>
            <w:strike w:val="0"/>
            <w:noProof w:val="0"/>
            <w:color w:val="0077CC"/>
            <w:position w:val="0"/>
            <w:sz w:val="20"/>
            <w:u w:val="single"/>
            <w:vertAlign w:val="baseline"/>
          </w:rPr>
          <w:t>www.oppaga.state.fl.us/MonitorDocs/Reports/pdf/1055rpt.pdf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for example, Pager, D.P. and Western, B.(2009). Investigating Prisoner Reentry: The Impact of Conviction Status on the Employment Prospects of Young Men: Final Report to the National Institute of Justice. Document No. 228584. Retrieved from: </w:t>
      </w:r>
      <w:hyperlink r:id="rId12" w:history="1">
        <w:r>
          <w:rPr>
            <w:rFonts w:ascii="arial" w:eastAsia="arial" w:hAnsi="arial" w:cs="arial"/>
            <w:b w:val="0"/>
            <w:i/>
            <w:strike w:val="0"/>
            <w:noProof w:val="0"/>
            <w:color w:val="0077CC"/>
            <w:position w:val="0"/>
            <w:sz w:val="20"/>
            <w:u w:val="single"/>
            <w:vertAlign w:val="baseline"/>
          </w:rPr>
          <w:t>www.ncjrs.gov/pdffiles1/nij/grants/228584.pdf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provide all disconnected youth served by the project with paid work-based learning opportunities because addressing the employment needs of disconnected youth is critical to improving their well-being and preparing them for lives as productive adults. We note as well that new evidence indicates that the benefits of work-based learning opportunities extend beyond improving the employment outcomes of youth. A recent evaluation of the summer work and learning opportunity program offered by New York City for youth ages 14 through 21, which selected participants using a randomized lottery, found that, within five to eight years after participation, the incarceration and mortality rates of participants were significantly lower than those of their peers who were not selected to participate in the program. n10 For youth who are not enrolled in school, year-round employment, and not just employment during the summer, is critically important.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work-based learning opportunities must be integrated with academic and technical instruction because research suggests that work experience must be combined with academic and technical training in order to have a positive impact on the employment and earnings outcomes of youth.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Gelber, A., Isen, A. and Kessler, J.B. (2014). The Effects of Youth Employment: Evidence from New York City Summer Youth Employment. Program Lotteries. NBER Working Paper No. 20810. Cambridge, MA: National Bureau of Economic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Sattar, S. (2010). Evidence Scan of Work Experience Programs. Oakland, CA: Mathematica Policy Research. See also Roder, A. and Elliott, M. (2014). Sustained Gains: Year-Up's Continued Impact on Young Adults' Earnings. New York, NY: Economic Mobility Corporation, Inc.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are designed to serve and coordinate with a federally designated Promise Zone. Promise Zone designees have committed to establishing comprehensive, coordinated approaches in order to ensure that America's most vulnerable children succeed from cradle to career. Twenty-two Promise Zones have been designated. They are located in: Los Angeles, California; Sacramento, California; San Diego, California; South Los Angeles, California; Hartford, Connecticut; Southwest Florida Regional Planning Commission in Glades County, Hendry County, and the Immokalee Community in Collier County; Atlanta, Georgia; Evansville, Indiana; Indianapolis, Indiana; the Southeastern Kentucky Highlands in Kentucky; Minneapolis, Minnesota; St. Louis and St. Louis County, Missouri; Camden, New Jersey; Turtle Mountain Band of Chippewa Indians, Rollete County, North Dakota; The Choctaw Nation of Oklahoma; Philadelphia, Pennsylvania; Roosevelt Roads, Puerto Rico; the South Carolina Low Country; the Pine Ridge Indian Reservation of the Oglala Sioux Tribe, South Dakota; Nashville, Tennessee; San Antonio, Texas; and the Spokane Tribe of Indians, Washington. The Promise Zone designation is designed to assist local leaders in creating jobs, increasing economic activity, improving educational opportunities, leveraging private investment, and reducing violent crime in high-poverty urban, rural, and tribal communities.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additional information on Promise Zones, see </w:t>
      </w:r>
      <w:hyperlink r:id="rId13" w:history="1">
        <w:r>
          <w:rPr>
            <w:rFonts w:ascii="arial" w:eastAsia="arial" w:hAnsi="arial" w:cs="arial"/>
            <w:b w:val="0"/>
            <w:i/>
            <w:strike w:val="0"/>
            <w:noProof w:val="0"/>
            <w:color w:val="0077CC"/>
            <w:position w:val="0"/>
            <w:sz w:val="20"/>
            <w:u w:val="single"/>
            <w:vertAlign w:val="baseline"/>
          </w:rPr>
          <w:t>www.hudexchange.info/programs/promise-zones/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applicants that plan to conduct independent impact evaluations of at least one service-delivery or operational component of their pilots (site-specific evaluation), in addition to participating in any national P3 evaluation, which is discussed in the </w:t>
      </w: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section of this notice. In proposing these site-specific impact evaluations, applicants should use the strongest possible designs and research methods and use high-quality administrative data in order to maximize confidence in the evaluation findings and minimize the costs of conducting these evaluations. Federal start-up funds and blended funds may be used to finance these evaluations.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three invitational priorities. Absolute Priorities 1, 2, and 3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4 are from the notice of final priorities, requirements, definitions, and selection criteria for this program published on April 28, 2016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25339)</w:t>
      </w:r>
      <w:r>
        <w:rPr>
          <w:rFonts w:ascii="arial" w:eastAsia="arial" w:hAnsi="arial" w:cs="arial"/>
          <w:b w:val="0"/>
          <w:i w:val="0"/>
          <w:strike w:val="0"/>
          <w:noProof w:val="0"/>
          <w:color w:val="000000"/>
          <w:position w:val="0"/>
          <w:sz w:val="20"/>
          <w:u w:val="none"/>
          <w:vertAlign w:val="baseline"/>
        </w:rPr>
        <w:t xml:space="preserve"> (P3 NFP). Absolute Priority 4 is from section 525(b) of Division H of the 2016 Appropriations 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the notice of final priority--Promise Zones,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4"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(Promise Zones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2, 3, or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indicate in the Appendix section of their applications, under "Other Attachments Form," whether they are applying under Absolute Priority 1, Absolute Priority 2, Absolute Priority 3, or Absolute Priority 4. An applicant that applies under Absolute Priority 2, Absolute Priority 3, or Absolute Priority 4, but is not eligible for funding under that absolute priority, will be considered for funding under Absolute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1--Improving Outcomes for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Outcomes for Disconnected Youth in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 in one or more rural communities (as defined in this notice)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3--Improving Outcomes for Disconnected Youth in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(1) propose a pilot that is designed to improve outcomes for disconnected youth who are members of one or more State- or federally-recognized Indian tribal communities; and (2) represent a partnership that includes one or more State- or federally-recognized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4--Improving Outcomes for Disconnected Youth in Communities that Have Recently Experienced Civil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is designed to improve outcomes for disconnected youth in one or more communities that have recently experienced civil unrest.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five points to an application based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three points to an application that meets </w:t>
      </w:r>
      <w:r>
        <w:rPr>
          <w:rFonts w:ascii="arial" w:eastAsia="arial" w:hAnsi="arial" w:cs="arial"/>
          <w:b/>
          <w:i w:val="0"/>
          <w:strike w:val="0"/>
          <w:noProof w:val="0"/>
          <w:color w:val="000000"/>
          <w:position w:val="0"/>
          <w:sz w:val="20"/>
          <w:u w:val="none"/>
          <w:vertAlign w:val="baseline"/>
        </w:rPr>
        <w:t> [*54059]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and up to an additional 10 points to an application based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address more than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identify in the Appendix section of its application, under "Other Attachments Form," the priority or priorities it addresses.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1--Improving Outcomes for Youth Who Are Unemployed and Out of School</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neither employed nor enrolled in education and who face significant barriers to accessing education and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2--Work-Based Learning Opportunities</w:t>
      </w:r>
      <w:r>
        <w:rPr>
          <w:rFonts w:ascii="arial" w:eastAsia="arial" w:hAnsi="arial" w:cs="arial"/>
          <w:b w:val="0"/>
          <w:i w:val="0"/>
          <w:strike w:val="0"/>
          <w:noProof w:val="0"/>
          <w:color w:val="000000"/>
          <w:position w:val="0"/>
          <w:sz w:val="20"/>
          <w:u w:val="none"/>
          <w:vertAlign w:val="baseline"/>
        </w:rPr>
        <w:t xml:space="preserve">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 will provide all of the disconnected youth it proposes to serve with paid work-based learning opportunities, such as opportunities during the summer, which are integrated with academic and technical instruction.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3--Promise Zones</w:t>
      </w:r>
      <w:r>
        <w:rPr>
          <w:rFonts w:ascii="arial" w:eastAsia="arial" w:hAnsi="arial" w:cs="arial"/>
          <w:b w:val="0"/>
          <w:i w:val="0"/>
          <w:strike w:val="0"/>
          <w:noProof w:val="0"/>
          <w:color w:val="000000"/>
          <w:position w:val="0"/>
          <w:sz w:val="20"/>
          <w:u w:val="none"/>
          <w:vertAlign w:val="baseline"/>
        </w:rPr>
        <w:t xml:space="preserve">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are designed to serve and coordinate with a federally designated Promise Zone.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4--Site-Specific Evaluation</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conduct an independent evaluation of the impacts on disconnected youth of its overall program or specific components of its program that is a randomized controlled trial or a quasi-experimental design study. The extent to which an applicant meets this priority will be based on the clarity and feasibility of the applicant's proposed evaluation design, the appropriateness of the design to best capture key pilot outcomes, the prospective contribution of the evaluation to the knowledge base about serving disconnected youth (including the rigor of the design and the validity and generalizability of the findings), and the applicant's demonstrated expertise in planning and conducting a randomized controlled trial or quasi-experimental design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priority, an applicant also must include the following two documents as separate attachments to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Summary Evaluation Plan that describes how the pilot or a component of the pilot (such as a discrete service-delivery strategy) will be rigorously evaluated. The evaluation plan may not exceed eight pages. The plan must include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research question(s) proposed for study and an explanation of its/their relevance, including how the proposed evaluation will build on the research evidence base for the project as described in the application and how the evaluation findings will be used to improve program implementation;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randomized controlled trial or quasi-experimental design study methodology, including the key outcome measures, the process for forming a comparison or control group, a justification for the target sample size and strategy for achieving it, and the approach to data collection (and sources) that minimizes both cost and potential attrition;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evaluation timeline, including dates for submission of required interim and final reports;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to the extent feasible and consistent with applicable Federal, State, local, and tribal privacy requirements, evaluation data will be made available to other, third-party researchers after the project ends;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selecting and procuring the services of a qualified independent evaluator (as defined in this notice) prior to enrolling participants (or a description of how one was selected if agreements have already been reached). The applicant must describe how it will ensure that the qualified independent evaluator has the capacity and expertise to conduct the evaluation, including estimating the effort for the qualified independent evaluator. This estimate must include the time, expertise, and analysis needed to successfully complete the proposed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supplementary Evaluation Budget Narrative, which is separate from the overall application budget narrative and provides a description of the costs associated with funding the proposed program evaluation component, and an explanation of its funding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blended funding, start-up funding, State, local, or tribal government funding, or other funding (such as philanthropic). The budget must include a breakout of costs by evaluation activity (such as data collection and participant follow-up), and the applicant must describe a strategy for refining the budget after the services of an evaluator have been procured. The applicant must include travel costs for the qualified independent evaluator to attend at least one in-person conference in Washington, DC during the period of evaluation. All costs included in this supplementary budget narrative must be reasonable and appropriate to the project timeline and deliverables.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will review the Summary Evaluation Plans and Evaluation Budget Narratives and provide feedback to applicants that are determined to have met the priority and that are selected as pilots. After award, these pilots must submit to the lead Federal agency a detailed evaluation plan of no more than 30 pages that relies heavily on the expertise of a qualified independent evaluator. The detailed evaluation plan must address the Agencies' feedback and expand on the Summary Evaluation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10"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1--Improving Outcomes for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homeless youth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2--Improving Outcomes for Youth Involved in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involved in the justice system;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3--Improving Outcomes for Youth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pilot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 serve disconnected youth who are or have ever been in foster care;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likely to result in significantly better educational or employment outcomes for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P3 NFP. All applicants must meet these application requirements in order to be considered </w:t>
      </w:r>
      <w:r>
        <w:rPr>
          <w:rFonts w:ascii="arial" w:eastAsia="arial" w:hAnsi="arial" w:cs="arial"/>
          <w:b/>
          <w:i w:val="0"/>
          <w:strike w:val="0"/>
          <w:noProof w:val="0"/>
          <w:color w:val="000000"/>
          <w:position w:val="0"/>
          <w:sz w:val="20"/>
          <w:u w:val="none"/>
          <w:vertAlign w:val="baseline"/>
        </w:rPr>
        <w:t> [*54060] </w:t>
      </w:r>
      <w:r>
        <w:rPr>
          <w:rFonts w:ascii="arial" w:eastAsia="arial" w:hAnsi="arial" w:cs="arial"/>
          <w:b w:val="0"/>
          <w:i w:val="0"/>
          <w:strike w:val="0"/>
          <w:noProof w:val="0"/>
          <w:color w:val="000000"/>
          <w:position w:val="0"/>
          <w:sz w:val="20"/>
          <w:u w:val="none"/>
          <w:vertAlign w:val="baseline"/>
        </w:rPr>
        <w:t xml:space="preserve"> for funding and selection as a pilot. The applicants are expected to provide the information specified in the application requirements and address the selection criteria that reviewers use to evaluate application in the form of an application narrative of no more than 45 pages. With the exception of the memorandum of understanding or letter of commitment described in application requirement (e)(2) and the assurance described in application requirement (c)(2), applicants must provide the documents or information specified in the application requirements in the applications they are required to submit by October 31, 2016. To reduce burden on applicants, we require only top-scoring applicants to submit the memorandum of understanding or letter of commitment described in application requirement (e)(2) and the assurance described in application requirement (c)(2). We will notify top-scoring applicants by telephone and email following the peer review. These applicants will be directed to transmit the memorandum of understanding or letter of commitment required by application requirement (e)(2) and the assurance described in application requirement (c)(2) to </w:t>
      </w:r>
      <w:hyperlink r:id="rId15"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 xml:space="preserve"> within 21 calendar days of the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Executive Summary.</w:t>
      </w:r>
      <w:r>
        <w:rPr>
          <w:rFonts w:ascii="arial" w:eastAsia="arial" w:hAnsi="arial" w:cs="arial"/>
          <w:b w:val="0"/>
          <w:i w:val="0"/>
          <w:strike w:val="0"/>
          <w:noProof w:val="0"/>
          <w:color w:val="000000"/>
          <w:position w:val="0"/>
          <w:sz w:val="20"/>
          <w:u w:val="none"/>
          <w:vertAlign w:val="baseline"/>
        </w:rPr>
        <w:t xml:space="preserve"> The applicant must provide an executive summary that briefly describes the proposed pilot, the flexibilities being sought, and the interventions or systems changes that would be implemented by the applicant and its partners to improve outcomes for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Target Population.</w:t>
      </w:r>
      <w:r>
        <w:rPr>
          <w:rFonts w:ascii="arial" w:eastAsia="arial" w:hAnsi="arial" w:cs="arial"/>
          <w:b w:val="0"/>
          <w:i w:val="0"/>
          <w:strike w:val="0"/>
          <w:noProof w:val="0"/>
          <w:color w:val="000000"/>
          <w:position w:val="0"/>
          <w:sz w:val="20"/>
          <w:u w:val="none"/>
          <w:vertAlign w:val="baseline"/>
        </w:rPr>
        <w:t xml:space="preserve"> The applicant must complete Table 1, specifying the target population(s) for the pilot, including the age range of youth who will be served and the estimated number of youth who will be served over the course of the pilot.</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140.27pt">
            <v:imagedata r:id="rId1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Flexibility, including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requests for flexibility, including waivers.</w:t>
      </w:r>
      <w:r>
        <w:rPr>
          <w:rFonts w:ascii="arial" w:eastAsia="arial" w:hAnsi="arial" w:cs="arial"/>
          <w:b w:val="0"/>
          <w:i w:val="0"/>
          <w:strike w:val="0"/>
          <w:noProof w:val="0"/>
          <w:color w:val="000000"/>
          <w:position w:val="0"/>
          <w:sz w:val="20"/>
          <w:u w:val="none"/>
          <w:vertAlign w:val="baseline"/>
        </w:rPr>
        <w:t xml:space="preserve"> For each program to be included in a pilot, the applicant must complete Table 2, Requested Flexibility. The applicant must identify two or more discretionary Federal programs that will be included in the pilot, n13 at least one of which must be administered (in whole or in part) by a State, local, or tribal government. n14 In table 2, the applicant must identify one or more program requirements that would inhibit implementation of the pilot and request that the requirement(s) be waived in whole or in part. Examples of potential waiver requests and other requests for flexibility include, but are not limited to: Blending of funds and changes to align eligibility requirements, allowable uses of funds, and performance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Applicants are encouraged to consult the list of examples of programs that are potentially eligible for inclusion in pilots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Local governments that are requesting waivers of requirements in State-administered programs are strongly encouraged to consult with the State agencies that administer the programs in preparing their applications.</w:t>
      </w:r>
    </w:p>
    <w:p>
      <w:pPr>
        <w:keepNext w:val="0"/>
        <w:spacing w:before="200" w:after="0" w:line="260" w:lineRule="atLeast"/>
        <w:ind w:left="0" w:right="0" w:firstLine="0"/>
        <w:jc w:val="both"/>
      </w:pPr>
      <w:r>
        <w:pict>
          <v:shape id="_x0000_i1028" type="#_x0000_t75" style="width:432.06pt;height:144.02pt">
            <v:imagedata r:id="rId1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Please note in "Name of Program Grantee" if the grantee is a State, local, or tribal government, or non-governmental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Non-Federal flexibility, including waivers.</w:t>
      </w:r>
      <w:r>
        <w:rPr>
          <w:rFonts w:ascii="arial" w:eastAsia="arial" w:hAnsi="arial" w:cs="arial"/>
          <w:b w:val="0"/>
          <w:i w:val="0"/>
          <w:strike w:val="0"/>
          <w:noProof w:val="0"/>
          <w:color w:val="000000"/>
          <w:position w:val="0"/>
          <w:sz w:val="20"/>
          <w:u w:val="none"/>
          <w:vertAlign w:val="baseline"/>
        </w:rPr>
        <w:t xml:space="preserve"> The applicant must provide written assurance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State, local, or tribal government(s) with authority to grant any needed non-Federal flexibility, including waivers, has approved or will </w:t>
      </w:r>
      <w:r>
        <w:rPr>
          <w:rFonts w:ascii="arial" w:eastAsia="arial" w:hAnsi="arial" w:cs="arial"/>
          <w:b/>
          <w:i w:val="0"/>
          <w:strike w:val="0"/>
          <w:noProof w:val="0"/>
          <w:color w:val="000000"/>
          <w:position w:val="0"/>
          <w:sz w:val="20"/>
          <w:u w:val="none"/>
          <w:vertAlign w:val="baseline"/>
        </w:rPr>
        <w:t> [*54061] </w:t>
      </w:r>
      <w:r>
        <w:rPr>
          <w:rFonts w:ascii="arial" w:eastAsia="arial" w:hAnsi="arial" w:cs="arial"/>
          <w:b w:val="0"/>
          <w:i w:val="0"/>
          <w:strike w:val="0"/>
          <w:noProof w:val="0"/>
          <w:color w:val="000000"/>
          <w:position w:val="0"/>
          <w:sz w:val="20"/>
          <w:u w:val="none"/>
          <w:vertAlign w:val="baseline"/>
        </w:rPr>
        <w:t xml:space="preserve"> approve such flexibility within 60 days of an applicant's designation as a pilot finalist; n15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This includes, for example, for local governments, instances in which a waiver must be agreed upon by a State. It also includes instances in which waivers may only be requested by the State on the local government's behalf, such as waivers of the performance accountability requirements for local areas established in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Non-Federal flexibility, including waivers, is not needed in order to successfully implement the pilot.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Only top-scoring applicants notified by ED must submit this written assurance. The assurance must be transmitted to </w:t>
      </w:r>
      <w:hyperlink r:id="rId15"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 xml:space="preserve"> by no later than 21 calendar days of the applicant's notification by ED that is a top-scoring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The applicant must provide a graphic depiction (not longer than one page) of the pilot's logic model that illustrates the underlying theory of how the pilot's strategy will produce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Partnership Capacity and Management.</w:t>
      </w:r>
      <w:r>
        <w:rPr>
          <w:rFonts w:ascii="arial" w:eastAsia="arial" w:hAnsi="arial" w:cs="arial"/>
          <w:b w:val="0"/>
          <w:i w:val="0"/>
          <w:strike w:val="0"/>
          <w:noProof w:val="0"/>
          <w:color w:val="000000"/>
          <w:position w:val="0"/>
          <w:sz w:val="20"/>
          <w:u w:val="none"/>
          <w:vertAlign w:val="baseline"/>
        </w:rPr>
        <w:t xml:space="preserve">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the proposed partners, including any and all State, local, and tribal entities and non-governmental organizations that would be involved in implementation of the pilot, and describe their roles in the pilot's implementation using Table 3. Partnerships that cross programs and funding sources but are under the jurisdiction of a single agency or entity must identify the different sub-organizational units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a memorandum of understanding or letter of commitment signed by the executive leader or other accountable senior representative of each partner that describes each proposed partner's commitment, including its contribution of financial or in-kind resources (if any).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Only top-scoring applicants notified by ED must submit the memorandum of understanding or letter of commitment. This document must be transmitted to </w:t>
      </w:r>
      <w:hyperlink r:id="rId15"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 xml:space="preserve"> by no later than 21 calendar days of the applicant's notification by ED that it is a top-scoring applicant.</w:t>
      </w:r>
    </w:p>
    <w:p>
      <w:pPr>
        <w:keepNext w:val="0"/>
        <w:spacing w:before="200" w:after="0" w:line="260" w:lineRule="atLeast"/>
        <w:ind w:left="0" w:right="0" w:firstLine="0"/>
        <w:jc w:val="both"/>
      </w:pPr>
      <w:r>
        <w:pict>
          <v:shape id="_x0000_i1029" type="#_x0000_t75" style="width:432.06pt;height:144.77pt">
            <v:imagedata r:id="rId1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Any grantees mentioned in Table 2 that are not the lead applicant must be included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Data and Performance Management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propose outcome measures and interim indicators to gauge pilot performance using Table 4. At least one outcome measure must be in the domain of education, and at least one outcome measure must be in the domain of employment. Applicants may specify additional employment and education outcome measures, as well as outcome measures in other domains of well-being, such as criminal justice, physical and mental health, and housing. Regardless of the outcome domain, applicants must identify at least one interim indicator for each proposed outcome measure. Applicants may apply one interim indicator to multiple outcome measures,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outcome measures and interim indicators follow. Applicants may choose from this menu or may propose alternative indicators and outcome measures if they describe why their alternatives are more appropriate for their proposed projects.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 Domain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school diploma or equivalency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High school enrollment.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attainment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Reduction in chronic absenteeism.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Grade promotion.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Performance on standardized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Grade Point Average.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Credit accumulation.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completion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Enrollment.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Course attendance.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Credit accumulation.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Retention.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[*54062]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Domain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 measure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indicator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Sustained Employment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Unsubsidized employment at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 after exit from the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Median earnings at time periods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exit from the program.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outcome measures and interim indicators the applicant uses should be grounded in its logic model, and informed by applicable program results or research, as appropriate. Applicants must also indicate the source of the data, the proposed frequency of collection, and the methodology used to collect the data.</w:t>
      </w:r>
    </w:p>
    <w:p>
      <w:pPr>
        <w:keepNext w:val="0"/>
        <w:spacing w:before="200" w:after="0" w:line="260" w:lineRule="atLeast"/>
        <w:ind w:left="0" w:right="0" w:firstLine="0"/>
        <w:jc w:val="both"/>
      </w:pPr>
      <w:r>
        <w:pict>
          <v:shape id="_x0000_i1030" type="#_x0000_t75" style="width:432.06pt;height:507.07pt">
            <v:imagedata r:id="rId1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[*54063] </w:t>
      </w:r>
    </w:p>
    <w:p>
      <w:pPr>
        <w:keepNext w:val="0"/>
        <w:spacing w:before="200" w:after="0" w:line="260" w:lineRule="atLeast"/>
        <w:ind w:left="0" w:right="0" w:firstLine="0"/>
        <w:jc w:val="both"/>
      </w:pPr>
      <w:r>
        <w:pict>
          <v:shape id="_x0000_i1031" type="#_x0000_t75" style="width:432.06pt;height:507.07pt">
            <v:imagedata r:id="rId1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[*54063]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 and Budget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must complete Table 5 to provide the following budget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each Federal program, the grantee, the amount of funds to be blended or braided (as defined in this notice), the percentage of total program funding received by the grantee that the amount to be blended or braided represents, the Federal fiscal year of the award, and whether the grant has already been awarded;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total amount of funds from all Federal programs that would be blended or braided under the n18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Applicants are encouraged to consult the list of examples of programs that are potentially eligible for inclusion in pilots in the application package.</w:t>
      </w:r>
    </w:p>
    <w:p>
      <w:pPr>
        <w:keepNext w:val="0"/>
        <w:spacing w:before="200" w:after="0" w:line="260" w:lineRule="atLeast"/>
        <w:ind w:left="0" w:right="0" w:firstLine="0"/>
        <w:jc w:val="both"/>
      </w:pPr>
      <w:r>
        <w:pict>
          <v:shape id="_x0000_i1032" type="#_x0000_t75" style="width:432.06pt;height:420.81pt">
            <v:imagedata r:id="rId2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propose to expand the number of Federal programs supporting pilot activities using future funding beyond FY 2016, which may be included in pilots if Congress extends the P3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P3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National evaluation.</w:t>
      </w:r>
      <w:r>
        <w:rPr>
          <w:rFonts w:ascii="arial" w:eastAsia="arial" w:hAnsi="arial" w:cs="arial"/>
          <w:b w:val="0"/>
          <w:i w:val="0"/>
          <w:strike w:val="0"/>
          <w:noProof w:val="0"/>
          <w:color w:val="000000"/>
          <w:position w:val="0"/>
          <w:sz w:val="20"/>
          <w:u w:val="none"/>
          <w:vertAlign w:val="baseline"/>
        </w:rPr>
        <w:t xml:space="preserve"> In addition to any site-specific evaluations that pilots may undertake, the Agencies may initiate a national P3 evaluation of the pilots selected in Round 3, as well as those selected in subsequent rounds. n19 Each P3 pilot must participate fully in any federally sponsored P3 evaluation activity, including the national evaluation of P3, which will consist of the analysis of participant characteristics and outcomes, an implementation analysis at all sites, and rigorous impact evaluations of promising interventions in selected sites. The applicant must acknowledge in writing its understanding of these requirements by submitting the form provided in Appendix A, "Evaluation Commitment Form," as an attachment to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initiation of any federally sponsored national P3 evaluation activities is dependent upon the availability of sufficient funds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All P3 pilots must participate in a community of practice (as defined in this notice) that includes an annual in-person </w:t>
      </w:r>
      <w:r>
        <w:rPr>
          <w:rFonts w:ascii="arial" w:eastAsia="arial" w:hAnsi="arial" w:cs="arial"/>
          <w:b/>
          <w:i w:val="0"/>
          <w:strike w:val="0"/>
          <w:noProof w:val="0"/>
          <w:color w:val="000000"/>
          <w:position w:val="0"/>
          <w:sz w:val="20"/>
          <w:u w:val="none"/>
          <w:vertAlign w:val="baseline"/>
        </w:rPr>
        <w:t> [*54064] </w:t>
      </w:r>
      <w:r>
        <w:rPr>
          <w:rFonts w:ascii="arial" w:eastAsia="arial" w:hAnsi="arial" w:cs="arial"/>
          <w:b w:val="0"/>
          <w:i w:val="0"/>
          <w:strike w:val="0"/>
          <w:noProof w:val="0"/>
          <w:color w:val="000000"/>
          <w:position w:val="0"/>
          <w:sz w:val="20"/>
          <w:u w:val="none"/>
          <w:vertAlign w:val="baseline"/>
        </w:rPr>
        <w:t xml:space="preserve"> meeting of pilot sites (paid with grant funding that must be reflected in the pilot budget submitted) and virtual peer-to-peer learning activities. This commitment involves each pilot site working with the lead Federal agency on a plan for supporting its technical assistance needs, which can include learning activities supported by foundations or other non-Federal organizations as well as activities financed with Federal funds for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Consent.</w:t>
      </w:r>
      <w:r>
        <w:rPr>
          <w:rFonts w:ascii="arial" w:eastAsia="arial" w:hAnsi="arial" w:cs="arial"/>
          <w:b w:val="0"/>
          <w:i w:val="0"/>
          <w:strike w:val="0"/>
          <w:noProof w:val="0"/>
          <w:color w:val="000000"/>
          <w:position w:val="0"/>
          <w:sz w:val="20"/>
          <w:u w:val="none"/>
          <w:vertAlign w:val="baseline"/>
        </w:rPr>
        <w:t xml:space="preserve"> P3 pilots must secure necessary consent from parents, guardians, students, or youth program participants to access data for their pilots and any evaluations, in accordance with applicable Federal, State, local, and tribal laws. Applicants must explain how they propose to ensure compliance with Federal, State, local, and tribal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pilot partners share data to support effective coordination of services and link data to track outcome measures and interim indicators at the individual level to perform, where applicable, a low-cost, high-quality evaluation.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To the extent feasible and consistent with applicable privacy requirements, grantees must also ensure the data from their evaluations are made available to third-party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agreement.</w:t>
      </w:r>
      <w:r>
        <w:rPr>
          <w:rFonts w:ascii="arial" w:eastAsia="arial" w:hAnsi="arial" w:cs="arial"/>
          <w:b w:val="0"/>
          <w:i w:val="0"/>
          <w:strike w:val="0"/>
          <w:noProof w:val="0"/>
          <w:color w:val="000000"/>
          <w:position w:val="0"/>
          <w:sz w:val="20"/>
          <w:u w:val="none"/>
          <w:vertAlign w:val="baseline"/>
        </w:rPr>
        <w:t xml:space="preserve"> Each P3 pilot, along with other non-Federal government entities involved in the partnership, must enter into a performance agreement that will include, at a minimum, the following (as required by section 526(c)(2) of Division H of the 2014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length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Federal programs and federally funded services that are involved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Federal discretionary funds that are being used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non-Federal funds that are involved in the pilot, by source (which may include private funds as well as governmental funds) and by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State, local, or tribal programs that are involved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populations to be served by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cost-effective Federal oversight procedures that will be used for the purpose of maintaining the necessary level of accountability for the use of the Federal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cost-effective State, local, or tribal oversight procedures that will be used for the purpose of maintaining the necessary level of accountability for the use of the Federal discretionary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outcome (or outcomes) that the pilot is designed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appropriate, reliable, and objective outcome-measurement methodology that will be used to determine whether the pilot is achieving, and has achieved, specified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statutory, regulatory, or administrative requirements related to Federal mandatory programs that are barriers to achieving improved outcomes of the pilot;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Criteria for determining when a pilot is not achieving the specified outcomes that it is designed to achieve and subsequent steps,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consequences that will result;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corrective actions that will be taken in order to increase the likelihood that the pilot will achieve such specified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advised that the Agencies expect to make the performance agreements available to the public.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P3 NFP, the 2014 Appropriations Act, and </w:t>
      </w:r>
      <w:hyperlink r:id="rId2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Blended funding</w:t>
      </w:r>
      <w:r>
        <w:rPr>
          <w:rFonts w:ascii="arial" w:eastAsia="arial" w:hAnsi="arial" w:cs="arial"/>
          <w:b w:val="0"/>
          <w:i w:val="0"/>
          <w:strike w:val="0"/>
          <w:noProof w:val="0"/>
          <w:color w:val="000000"/>
          <w:position w:val="0"/>
          <w:sz w:val="20"/>
          <w:u w:val="none"/>
          <w:vertAlign w:val="baseline"/>
        </w:rPr>
        <w:t xml:space="preserve"> is a funding and resource allocation strategy that uses multiple existing funding streams to support a single initiative or strategy. Blended funding merges two or more funding streams, or portions of multiple funding streams, to produce greater efficiency and/or effectiveness. Funds from each individual stream lose their award-specific identity, and the blended funds together become subject to a single set of reporting and other requirements, consistent with the underlying purposes of the programs for which the funds were appropriated.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Braided funding</w:t>
      </w:r>
      <w:r>
        <w:rPr>
          <w:rFonts w:ascii="arial" w:eastAsia="arial" w:hAnsi="arial" w:cs="arial"/>
          <w:b w:val="0"/>
          <w:i w:val="0"/>
          <w:strike w:val="0"/>
          <w:noProof w:val="0"/>
          <w:color w:val="000000"/>
          <w:position w:val="0"/>
          <w:sz w:val="20"/>
          <w:u w:val="none"/>
          <w:vertAlign w:val="baseline"/>
        </w:rPr>
        <w:t xml:space="preserve"> is a funding and resource allocation strategy in which entities use existing funding streams to support unified initiatives in as flexible and integrated a manner as possible while still tracking and maintaining separate accountability for each funding stream. One or more entities may coordinate several funding sources, but each individual funding stream maintains its award-specific identity. Whereas blending funds typically requires one or more waivers of associated program requirements, braiding does not. However, waivers may be used to support more effective or efficient braiding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means a group of pilots that agrees to interact regularly to solve persistent problems or improve practice in an area that is important to them and the success of their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has limited ability in reading, writing, speaking, or comprehending the English language,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Whose native language is a language other than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lives in a family or community environment where a language other than English is the dominant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Evidence-informed interventions</w:t>
      </w:r>
      <w:r>
        <w:rPr>
          <w:rFonts w:ascii="arial" w:eastAsia="arial" w:hAnsi="arial" w:cs="arial"/>
          <w:b w:val="0"/>
          <w:i w:val="0"/>
          <w:strike w:val="0"/>
          <w:noProof w:val="0"/>
          <w:color w:val="000000"/>
          <w:position w:val="0"/>
          <w:sz w:val="20"/>
          <w:u w:val="none"/>
          <w:vertAlign w:val="baseline"/>
        </w:rPr>
        <w:t xml:space="preserve"> bring together the best available research, professional expertise, and input from youth and families to identify and deliver services that have promise to achieve positive outcomes for youth, families, and communities.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youth</w:t>
      </w:r>
      <w:r>
        <w:rPr>
          <w:rFonts w:ascii="arial" w:eastAsia="arial" w:hAnsi="arial" w:cs="arial"/>
          <w:b w:val="0"/>
          <w:i w:val="0"/>
          <w:strike w:val="0"/>
          <w:noProof w:val="0"/>
          <w:color w:val="000000"/>
          <w:position w:val="0"/>
          <w:sz w:val="20"/>
          <w:u w:val="none"/>
          <w:vertAlign w:val="baseline"/>
        </w:rPr>
        <w:t xml:space="preserve"> has the same meaning as "homeless children and youths" in section 725(2) of the McKinney-Vento Education for Homeless Children and Youth Act of 2001 (</w:t>
      </w:r>
      <w:hyperlink r:id="rId22"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interim indicator</w:t>
      </w:r>
      <w:r>
        <w:rPr>
          <w:rFonts w:ascii="arial" w:eastAsia="arial" w:hAnsi="arial" w:cs="arial"/>
          <w:b w:val="0"/>
          <w:i w:val="0"/>
          <w:strike w:val="0"/>
          <w:noProof w:val="0"/>
          <w:color w:val="000000"/>
          <w:position w:val="0"/>
          <w:sz w:val="20"/>
          <w:u w:val="none"/>
          <w:vertAlign w:val="baseline"/>
        </w:rPr>
        <w:t xml:space="preserve"> is a marker of achievement that demonstrates progress toward an outcome and is measured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Interventions based on evidence</w:t>
      </w:r>
      <w:r>
        <w:rPr>
          <w:rFonts w:ascii="arial" w:eastAsia="arial" w:hAnsi="arial" w:cs="arial"/>
          <w:b w:val="0"/>
          <w:i w:val="0"/>
          <w:strike w:val="0"/>
          <w:noProof w:val="0"/>
          <w:color w:val="000000"/>
          <w:position w:val="0"/>
          <w:sz w:val="20"/>
          <w:u w:val="none"/>
          <w:vertAlign w:val="baseline"/>
        </w:rPr>
        <w:t xml:space="preserve"> are approaches to prevention or treatment that are validated by documented scientific evidence from randomized controlled trials, or quasi-experimental design studies or correlational studies, and that show positive effects (for randomized controlled trials and quasi-experimental design studies) or favorable associations (for correlational studies) on the primary targeted outcomes for populations or settings similar to those of the proposed pilot. The best evidence to support an applicant's proposed reform(s) and target population will be based on one or more randomized controlled trials. The next best evidence will be studies using a quasi-experimental design. Correlational analysis may also be used as evidence to support an applicant's proposed reforms.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are the intended results of a program, or intervention. They are what applicants expect their projects to achieve. An outcome can be measured at the participant level (for example, changes in employment retention or earnings of disconnected youth) or at the system level (for example, improved efficiency in program operations or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qualified independent evaluator</w:t>
      </w:r>
      <w:r>
        <w:rPr>
          <w:rFonts w:ascii="arial" w:eastAsia="arial" w:hAnsi="arial" w:cs="arial"/>
          <w:b w:val="0"/>
          <w:i w:val="0"/>
          <w:strike w:val="0"/>
          <w:noProof w:val="0"/>
          <w:color w:val="000000"/>
          <w:position w:val="0"/>
          <w:sz w:val="20"/>
          <w:u w:val="none"/>
          <w:vertAlign w:val="baseline"/>
        </w:rPr>
        <w:t xml:space="preserve"> is an individual who coordinates with the grantee and the lead Federal agency for </w:t>
      </w:r>
      <w:r>
        <w:rPr>
          <w:rFonts w:ascii="arial" w:eastAsia="arial" w:hAnsi="arial" w:cs="arial"/>
          <w:b/>
          <w:i w:val="0"/>
          <w:strike w:val="0"/>
          <w:noProof w:val="0"/>
          <w:color w:val="000000"/>
          <w:position w:val="0"/>
          <w:sz w:val="20"/>
          <w:u w:val="none"/>
          <w:vertAlign w:val="baseline"/>
        </w:rPr>
        <w:t> [*54065] </w:t>
      </w:r>
      <w:r>
        <w:rPr>
          <w:rFonts w:ascii="arial" w:eastAsia="arial" w:hAnsi="arial" w:cs="arial"/>
          <w:b w:val="0"/>
          <w:i w:val="0"/>
          <w:strike w:val="0"/>
          <w:noProof w:val="0"/>
          <w:color w:val="000000"/>
          <w:position w:val="0"/>
          <w:sz w:val="20"/>
          <w:u w:val="none"/>
          <w:vertAlign w:val="baseline"/>
        </w:rPr>
        <w:t xml:space="preserve"> the pilot, but works independently on the evaluation and has the capacity to carry out the evaluation, including, but not limited to: Prior experience conducting evaluations of similar design (for example, for randomized controlled trials, the evaluator will have successfully conducted a randomized controlled trial in the past); positive past performance on evaluations of a similar design, as evidenced by past performance reviews submitted from past clients directly to the awardee; lead staff with prior experience carrying out a similar evaluation; lead staff with minimum credential (such as a Ph.D. plus three years of experience conducting evaluations of a similar nature, or a Master's degree plus seven years of experience conducting evaluations of a similar nature); and adequate staff time to work on the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(as defined in this notice)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(as defined in this notice)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rural community</w:t>
      </w:r>
      <w:r>
        <w:rPr>
          <w:rFonts w:ascii="arial" w:eastAsia="arial" w:hAnsi="arial" w:cs="arial"/>
          <w:b w:val="0"/>
          <w:i w:val="0"/>
          <w:strike w:val="0"/>
          <w:noProof w:val="0"/>
          <w:color w:val="000000"/>
          <w:position w:val="0"/>
          <w:sz w:val="20"/>
          <w:u w:val="none"/>
          <w:vertAlign w:val="baseline"/>
        </w:rPr>
        <w:t xml:space="preserve"> is a community that is served only by one or more local educational agencies (LEAs) that are currently eligible under the Department of Education's Small, Rural School Achievement (SRSA) program or the Rural and Low-Income School (RLIS) program authorized under the Elementary and Secondary Education Act of 1965 (ESEA), as amended, or includes only schools designated by the National Center for Education Statistics (NCES) with a locale code of 42 or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provides flexibility in the form of relief, in whole or in part, from specific statutory, regulatory, or administrative requirements that have hindered the ability of a State, locality, or tribe to organize its programs and systems or provide services in ways that best meet the needs of its target populations. Under P3, waivers provide flexibility in exchange for a pilot's commitment to improve programmatic outcomes for disconnected youth consistent with underlying statutory authorities and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r>
        <w:rPr>
          <w:rFonts w:ascii="arial" w:eastAsia="arial" w:hAnsi="arial" w:cs="arial"/>
          <w:b w:val="0"/>
          <w:i/>
          <w:strike w:val="0"/>
          <w:noProof w:val="0"/>
          <w:color w:val="000000"/>
          <w:position w:val="0"/>
          <w:sz w:val="20"/>
          <w:u w:val="none"/>
          <w:vertAlign w:val="baseline"/>
        </w:rPr>
        <w:t>//ies.ed.gov/ncee/wwc/DocumentSum.aspx?sid=19.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219 of Division B, section 525 of Division H, and section 242 of Division L of the 2016 Appropriations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and such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Agencies may apply based on the programs included in a particular pilot.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Promise Zones NFP. (e) The P3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Up to $ 2,000,000.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 to $ 250,000.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w:t>
      </w:r>
      <w:r>
        <w:rPr>
          <w:rFonts w:ascii="arial" w:eastAsia="arial" w:hAnsi="arial" w:cs="arial"/>
          <w:b w:val="0"/>
          <w:i w:val="0"/>
          <w:strike w:val="0"/>
          <w:noProof w:val="0"/>
          <w:color w:val="000000"/>
          <w:position w:val="0"/>
          <w:sz w:val="20"/>
          <w:u w:val="none"/>
          <w:vertAlign w:val="baseline"/>
        </w:rPr>
        <w:t xml:space="preserve"> $ 200,000.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Agencies are not bound by any estimates in this notice. ED may supplement one or more awards above the amount requested in the application if funds remain after ED has made awards to all of the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Not to extend beyond September 30,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lead applicant must be a State, local, or tribal government entity, represented by a Chief Executive, such as a governor, mayor, or other elected leader, or the head of a State, local, or tribal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Cost-Sharing or Matching:</w:t>
      </w:r>
      <w:r>
        <w:rPr>
          <w:rFonts w:ascii="arial" w:eastAsia="arial" w:hAnsi="arial" w:cs="arial"/>
          <w:b w:val="0"/>
          <w:i w:val="0"/>
          <w:strike w:val="0"/>
          <w:noProof w:val="0"/>
          <w:color w:val="000000"/>
          <w:position w:val="0"/>
          <w:sz w:val="20"/>
          <w:u w:val="none"/>
          <w:vertAlign w:val="baseline"/>
        </w:rPr>
        <w:t xml:space="preserve"> This program does not require cost-sharing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3"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State governmental agencies; local governmental agencies, including LEAs; tribal governmental agencies; institutions of higher education; and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only award subgrants to entities it has identified in an approved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Braden Goetz, U.S. Department of Education, 400 Maryland Avenue SW., Room 11141, Potomac Center Plaza (PCP), Washington, DC 20202. Telephone: (202) 245-7405 or by email: </w:t>
      </w:r>
      <w:hyperlink r:id="rId15"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either of the program contact persons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Submit an Application:</w:t>
      </w:r>
      <w:r>
        <w:rPr>
          <w:rFonts w:ascii="arial" w:eastAsia="arial" w:hAnsi="arial" w:cs="arial"/>
          <w:b w:val="0"/>
          <w:i w:val="0"/>
          <w:strike w:val="0"/>
          <w:noProof w:val="0"/>
          <w:color w:val="000000"/>
          <w:position w:val="0"/>
          <w:sz w:val="20"/>
          <w:u w:val="none"/>
          <w:vertAlign w:val="baseline"/>
        </w:rPr>
        <w:t xml:space="preserve"> September 14,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Submission of a notice of intent to apply is optional. We will be able to develop a more efficient process for reviewing applications if we know the approximate number of applicants that intend to apply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apply by emailing to </w:t>
      </w:r>
      <w:hyperlink r:id="rId15"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 xml:space="preserve"> the following information: (1) The applicant organization's name and address and (2) the absolute priority the applicant intends to address. Applicants that do not submit a notice of intent to apply may still submit an application. </w:t>
      </w:r>
      <w:r>
        <w:rPr>
          <w:rFonts w:ascii="arial" w:eastAsia="arial" w:hAnsi="arial" w:cs="arial"/>
          <w:b/>
          <w:i w:val="0"/>
          <w:strike w:val="0"/>
          <w:noProof w:val="0"/>
          <w:color w:val="000000"/>
          <w:position w:val="0"/>
          <w:sz w:val="20"/>
          <w:u w:val="none"/>
          <w:vertAlign w:val="baseline"/>
        </w:rPr>
        <w:t> [*54066]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provide the information specified in the application requirements and address the selection criteria that reviewers use to evaluate your application. You must limit the application narrative to no more than 45 pages, using the following standards: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for the application narrative does not apply to the budget and budget narrative, the assurances and certifications, the abstract, the absolute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resumes, the summary evaluation plan and supplementary evaluation budget narrative for applicants responding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the evaluation commitment form, or the letters of commitment and memoranda of understanding.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narrative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P3, your application may include business information that you consider proprietary. In </w:t>
      </w:r>
      <w:hyperlink r:id="rId24"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and may make all applications available,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4"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September 29,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Submission of a notice of intent to apply is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October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must be submitted electronically using the Grants.gov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Grants.gov as an AOR. Details on these steps are outlined at the following Grants.gov Web page: </w:t>
      </w:r>
      <w:hyperlink r:id="rId2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w:t>
      </w:r>
      <w:r>
        <w:rPr>
          <w:rFonts w:ascii="arial" w:eastAsia="arial" w:hAnsi="arial" w:cs="arial"/>
          <w:b/>
          <w:i w:val="0"/>
          <w:strike w:val="0"/>
          <w:noProof w:val="0"/>
          <w:color w:val="000000"/>
          <w:position w:val="0"/>
          <w:sz w:val="20"/>
          <w:u w:val="none"/>
          <w:vertAlign w:val="baseline"/>
        </w:rPr>
        <w:t> [*54067] </w:t>
      </w:r>
      <w:r>
        <w:rPr>
          <w:rFonts w:ascii="arial" w:eastAsia="arial" w:hAnsi="arial" w:cs="arial"/>
          <w:b w:val="0"/>
          <w:i w:val="0"/>
          <w:strike w:val="0"/>
          <w:noProof w:val="0"/>
          <w:color w:val="000000"/>
          <w:position w:val="0"/>
          <w:sz w:val="20"/>
          <w:u w:val="none"/>
          <w:vertAlign w:val="baseline"/>
        </w:rPr>
        <w:t xml:space="preserve">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P3 program, CFDA number 84.420A, must be submitted electronically using the Governmentwide Grants.gov Apply site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P3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84.420, not 84.420A).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 </w:t>
      </w:r>
      <w:r>
        <w:rPr>
          <w:rFonts w:ascii="arial" w:eastAsia="arial" w:hAnsi="arial" w:cs="arial"/>
          <w:b/>
          <w:i w:val="0"/>
          <w:strike w:val="0"/>
          <w:noProof w:val="0"/>
          <w:color w:val="000000"/>
          <w:position w:val="0"/>
          <w:sz w:val="20"/>
          <w:u w:val="none"/>
          <w:vertAlign w:val="baseline"/>
        </w:rPr>
        <w:t> [*54068]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that problem affected your ability to submit your application by 4:30:00 p.m., Washington, DC time, on the application deadline date. We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Braden Goetz, U.S. Department of Education, 400 Maryland Avenue SW., Room 11141, PCP, Washington, DC 20202. FAX: (202) 245-7838.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84.420A,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84.420A,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for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P3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points assigned to each criterion are indicated in the parentheses next to the criterion. An applicant may earn up to 100 points based on the selection criteria. An applicant's final score will include both points awarded based on selection criteria and also any points awarded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In determining the need for the proposed project, we will consider the magnitude of the need of the target population, as evidenced by the applicant's analysis of data, including data from a comprehensive needs assessment conducted or updated in the past three years, using representative data on youth from the jurisdiction(s) proposing the pilot, that demonstrates how the target population lags behind other groups in achieving positive outcomes and the specific risk factors for this population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disaggregate these data according to relevant demographic factors such as race, ethnicity, gender, age, disability status, involvement in systems such as foster care or juvenile justice, status as pregnant or parenting, and other key factors selected by the applicant. If disaggregated data specific to the local population are not available, applicants may refer to disaggregated data available through research, studies, or other sources that describe similarly situated populations as the one the applicant is targeting with its pilot.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do not need to include a copy of the needs assessment but should identify when it was conducted or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Need for Requested Flexibility, Including Blending of Funds and Other Waivers.</w:t>
      </w:r>
      <w:r>
        <w:rPr>
          <w:rFonts w:ascii="arial" w:eastAsia="arial" w:hAnsi="arial" w:cs="arial"/>
          <w:b w:val="0"/>
          <w:i w:val="0"/>
          <w:strike w:val="0"/>
          <w:noProof w:val="0"/>
          <w:color w:val="000000"/>
          <w:position w:val="0"/>
          <w:sz w:val="20"/>
          <w:u w:val="none"/>
          <w:vertAlign w:val="baseline"/>
        </w:rPr>
        <w:t xml:space="preserve"> In determining the need for the requested flexibility, including blending </w:t>
      </w:r>
      <w:r>
        <w:rPr>
          <w:rFonts w:ascii="arial" w:eastAsia="arial" w:hAnsi="arial" w:cs="arial"/>
          <w:b/>
          <w:i w:val="0"/>
          <w:strike w:val="0"/>
          <w:noProof w:val="0"/>
          <w:color w:val="000000"/>
          <w:position w:val="0"/>
          <w:sz w:val="20"/>
          <w:u w:val="none"/>
          <w:vertAlign w:val="baseline"/>
        </w:rPr>
        <w:t> [*54069] </w:t>
      </w:r>
      <w:r>
        <w:rPr>
          <w:rFonts w:ascii="arial" w:eastAsia="arial" w:hAnsi="arial" w:cs="arial"/>
          <w:b w:val="0"/>
          <w:i w:val="0"/>
          <w:strike w:val="0"/>
          <w:noProof w:val="0"/>
          <w:color w:val="000000"/>
          <w:position w:val="0"/>
          <w:sz w:val="20"/>
          <w:u w:val="none"/>
          <w:vertAlign w:val="baseline"/>
        </w:rPr>
        <w:t xml:space="preserve"> of funds and other waivers,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 and clarity of the applicant's justification that each of the specified Federal requirements identified in Table 2 for which the applicant is seeking flexibility hinders implementation of the proposed pilot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strength and quality of the applicant's justification of how each request for flexibility identified in Table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blending funds and waivers) will increase efficiency or access to services and produce significantly better outcomes for the target population(s)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Project Design.</w:t>
      </w:r>
      <w:r>
        <w:rPr>
          <w:rFonts w:ascii="arial" w:eastAsia="arial" w:hAnsi="arial" w:cs="arial"/>
          <w:b w:val="0"/>
          <w:i w:val="0"/>
          <w:strike w:val="0"/>
          <w:noProof w:val="0"/>
          <w:color w:val="000000"/>
          <w:position w:val="0"/>
          <w:sz w:val="20"/>
          <w:u w:val="none"/>
          <w:vertAlign w:val="baseline"/>
        </w:rPr>
        <w:t xml:space="preserve"> In determining the strength of the project design,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 and logic of the proposed project design in addressing the gaps and the disparities identified in the response to Selection Criterion (a) (Need for Project) and the barriers identified in the response to Selection Criterion (b) (Need for Requested Flexibility, Including Blending of Funds and Other Waivers). This includes the clarity of the applicant's plan and how the plan differs from current practices. Scoring will account for the strength of both the applicant's narrative and the logic model (10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applicant's narrative should describe how the proposed project will use and coordinate resources, including building on participation in any complementary Federal initiatives or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strength of the evidence supporting the pilot design and whether the applicant proposes the effective use of interventions based on evidence and evidence-informed interventions (as defined in this notice), as documented by citations to the relevant evidence that informed the applicant's design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should cite the studies on interventions and system reforms that informed their pilot design and explain the relevance of the cited evidence to the proposed project in terms of subject matter and evaluation evidence. Applicants proposing reforms on which there are not yet evaluations (such as innovations that have not been formally tested or tested only on a small scale) should document how evidence or practice knowledge informed the proposed pilot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strength of the applicant's evidence that the project design, including any protections and safeguards that will be established, ensures that the consequences or impacts of the changes from current practices in serving youth through the proposed funding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not result in denying or restricting the eligibility of individuals for services that (in whole or in part) are otherwise funded by these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Based on the best available information, will not otherwise adversely affect vulnerable populations that are the recipients of those services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Work Plan and Project Management.</w:t>
      </w:r>
      <w:r>
        <w:rPr>
          <w:rFonts w:ascii="arial" w:eastAsia="arial" w:hAnsi="arial" w:cs="arial"/>
          <w:b w:val="0"/>
          <w:i w:val="0"/>
          <w:strike w:val="0"/>
          <w:noProof w:val="0"/>
          <w:color w:val="000000"/>
          <w:position w:val="0"/>
          <w:sz w:val="20"/>
          <w:u w:val="none"/>
          <w:vertAlign w:val="baseline"/>
        </w:rPr>
        <w:t xml:space="preserve"> In determining the strength of the work plan and project management, we will consider the strength and completeness of the work plan and project management approach and their likelihood of achieving the objectives of the proposed project on time and within budget,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Clearly defined and appropriate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of project personnel to ensure proper management of all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any existing or anticipated barriers to implementation will be overcome (10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program manager or other key personnel are already on staff, the applicant should provide this person's resume or curriculum vitae.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Evaluation activities may be included in the timelines provided as part of the work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Partnership Capacity.</w:t>
      </w:r>
      <w:r>
        <w:rPr>
          <w:rFonts w:ascii="arial" w:eastAsia="arial" w:hAnsi="arial" w:cs="arial"/>
          <w:b w:val="0"/>
          <w:i w:val="0"/>
          <w:strike w:val="0"/>
          <w:noProof w:val="0"/>
          <w:color w:val="000000"/>
          <w:position w:val="0"/>
          <w:sz w:val="20"/>
          <w:u w:val="none"/>
          <w:vertAlign w:val="baseline"/>
        </w:rPr>
        <w:t xml:space="preserve"> In determining the strength and capacity of the proposed pilot partnership, we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well the applicant demonstrates that it has an effective governance structure in which partners that are necessary to implement the pilot successfully are represented and have the necessary authority, resources, expertise, and incentives to achieve the pilot's goals and resolve unforeseen issues, including by demonstrating the extent to which, and how, participating partners have successfully collaborated to improve outcomes for disconnected youth in the past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well the applicant demonstrates that its proposal was designed with substantive input from all relevant stakeholders, including disconnected youth and other community partners (5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Where the project design includes job training strategies, the extent of employer input and engagement in the identification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employers, the development of the curriculum, and the offering of work-based learning opportunities, including pre-apprenticeship and registered apprenticeship, will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Data and Performance Management Capacity.</w:t>
      </w:r>
      <w:r>
        <w:rPr>
          <w:rFonts w:ascii="arial" w:eastAsia="arial" w:hAnsi="arial" w:cs="arial"/>
          <w:b w:val="0"/>
          <w:i w:val="0"/>
          <w:strike w:val="0"/>
          <w:noProof w:val="0"/>
          <w:color w:val="000000"/>
          <w:position w:val="0"/>
          <w:sz w:val="20"/>
          <w:u w:val="none"/>
          <w:vertAlign w:val="baseline"/>
        </w:rPr>
        <w:t xml:space="preserve"> In determining the strength of the applicant's data and performance management capacity, we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applicant's capacity to collect, analyze, and use data for decision-making, learning, continuous improvement, and accountability, and the strength of the applicant's plan to bridge any gaps in its ability to do so. This capacity includes the extent to which the applicant and partner organizations have tracked and shared data about program participants, services, and outcomes, including the execution of data-sharing agreements that comport with Federal, State, and other privacy laws and requirements, and will continue to do so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well the proposed outcome measures, interim indicators, and measurement methodologies specified in Table 4 of the application appropriately and sufficiently gauge results achieved for the target population under the pilot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well the data sources specified in Table 4 of the application can be appropriately accessed and used to reliably measure the proposed outcome measures and interim indicators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 and Budget Narrative.</w:t>
      </w:r>
      <w:r>
        <w:rPr>
          <w:rFonts w:ascii="arial" w:eastAsia="arial" w:hAnsi="arial" w:cs="arial"/>
          <w:b w:val="0"/>
          <w:i w:val="0"/>
          <w:strike w:val="0"/>
          <w:noProof w:val="0"/>
          <w:color w:val="000000"/>
          <w:position w:val="0"/>
          <w:sz w:val="20"/>
          <w:u w:val="none"/>
          <w:vertAlign w:val="baseline"/>
        </w:rPr>
        <w:t xml:space="preserve"> In determining the adequacy of the resources that will be committed to support the project, we will consider the appropriateness of expenses within the budget with regards to cost and to implementing the pilot successfully. We will consider the entirety of funds the applicant will use to support its pilot including start-up grant funds, blended and braided funds included in Table 5, and non-Federal funds including in-kind contributions. (5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1"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w:t>
      </w:r>
      <w:r>
        <w:rPr>
          <w:rFonts w:ascii="arial" w:eastAsia="arial" w:hAnsi="arial" w:cs="arial"/>
          <w:b/>
          <w:i w:val="0"/>
          <w:strike w:val="0"/>
          <w:noProof w:val="0"/>
          <w:color w:val="000000"/>
          <w:position w:val="0"/>
          <w:sz w:val="20"/>
          <w:u w:val="none"/>
          <w:vertAlign w:val="baseline"/>
        </w:rPr>
        <w:t> [*54070] </w:t>
      </w:r>
      <w:r>
        <w:rPr>
          <w:rFonts w:ascii="arial" w:eastAsia="arial" w:hAnsi="arial" w:cs="arial"/>
          <w:b w:val="0"/>
          <w:i w:val="0"/>
          <w:strike w:val="0"/>
          <w:noProof w:val="0"/>
          <w:color w:val="000000"/>
          <w:position w:val="0"/>
          <w:sz w:val="20"/>
          <w:u w:val="none"/>
          <w:vertAlign w:val="baseline"/>
        </w:rPr>
        <w:t xml:space="preserve"> Education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in accordance with the requirements in this notice, and will determine which applications are eligible to be read based on whether they have met the eligibility and application requirements established by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use reviewers with knowledge and expertise on issues related to improving outcomes for disconnected youth to score the selection criteria. The Department will thoroughly screen all reviewers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of, and score the assigned applications, based on the seven selection criteria listed in the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applications, all reviewers will score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(Improving Outcomes for Youth Who Are Unemployed and Out of School), while reviewers with expertise in evaluation will score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(Site-Specific Evaluation). The Department will assign three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(Work-Based Learning Opportunities) if the application proposes to provide all disconnected youth that will be served by the project with paid work-based learning opportunities, such as opportunities during the summer, which are integrated with academic and technical instruction. If you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provide a HUD Form 50153 (Certification of Consistency with Promise Zone Goals and Implementation) that has been signed by an authorized Promise Zone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scoring.</w:t>
      </w:r>
      <w:r>
        <w:rPr>
          <w:rFonts w:ascii="arial" w:eastAsia="arial" w:hAnsi="arial" w:cs="arial"/>
          <w:b w:val="0"/>
          <w:i w:val="0"/>
          <w:strike w:val="0"/>
          <w:noProof w:val="0"/>
          <w:color w:val="000000"/>
          <w:position w:val="0"/>
          <w:sz w:val="20"/>
          <w:u w:val="none"/>
          <w:vertAlign w:val="baseline"/>
        </w:rPr>
        <w:t xml:space="preserve"> Reviewers will read, prepare a written evaluation, and assign a technical score to the applications assigned to their panel, using the selection criteria provided in this notice,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4, and the scoring rubric in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will then prepare a rank order of applications based on their technical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Flexibility, including blending of funds and other waivers.</w:t>
      </w:r>
      <w:r>
        <w:rPr>
          <w:rFonts w:ascii="arial" w:eastAsia="arial" w:hAnsi="arial" w:cs="arial"/>
          <w:b w:val="0"/>
          <w:i w:val="0"/>
          <w:strike w:val="0"/>
          <w:noProof w:val="0"/>
          <w:color w:val="000000"/>
          <w:position w:val="0"/>
          <w:sz w:val="20"/>
          <w:u w:val="none"/>
          <w:vertAlign w:val="baseline"/>
        </w:rPr>
        <w:t xml:space="preserve"> Using this rank order, representatives of the Agencies that administer programs under which flexibility in Federal requirements is sought will evaluate whether the flexibility, including blending of funds and other waivers requested by top-scoring applicants, meets the statutory requirements for Performance Partnership Pilots and is otherwise appropriate. For example, if an applicant is seeking flexibility under programs administered by HHS and DOL, its requests for flexibility will be reviewed by HHS and DOL officials. Applicants may be asked to participate in an interview at this point in the process in order to clarify requests for flexibility and other aspects of their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applicants that propose to include funds from FY 2016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that have already been awarded, the flexibility review may include consideration of whether the scope, objectives, and target populations of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are sufficiently and appropriately aligned with the proposed pilot. Any changes in terms and conditions of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required for pilot purposes must be justified by the applicant. The Agencies will review those requests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25 or fewer eligible applications are received, the technical scoring and reviews of flexibility requests may be conducted concurrently.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Selecting finalists.</w:t>
      </w:r>
      <w:r>
        <w:rPr>
          <w:rFonts w:ascii="arial" w:eastAsia="arial" w:hAnsi="arial" w:cs="arial"/>
          <w:b w:val="0"/>
          <w:i w:val="0"/>
          <w:strike w:val="0"/>
          <w:noProof w:val="0"/>
          <w:color w:val="000000"/>
          <w:position w:val="0"/>
          <w:sz w:val="20"/>
          <w:u w:val="none"/>
          <w:vertAlign w:val="baseline"/>
        </w:rPr>
        <w:t xml:space="preserve"> Agency officials may recommend the selection of up to 10 projects as Performance Partnership Pilots. In accordance with </w:t>
      </w:r>
      <w:hyperlink r:id="rId31" w:history="1">
        <w:r>
          <w:rPr>
            <w:rFonts w:ascii="arial" w:eastAsia="arial" w:hAnsi="arial" w:cs="arial"/>
            <w:b w:val="0"/>
            <w:i/>
            <w:strike w:val="0"/>
            <w:noProof w:val="0"/>
            <w:color w:val="0077CC"/>
            <w:position w:val="0"/>
            <w:sz w:val="20"/>
            <w:u w:val="single"/>
            <w:vertAlign w:val="baseline"/>
          </w:rPr>
          <w:t>34 CFR 75.217(d)</w:t>
        </w:r>
      </w:hyperlink>
      <w:r>
        <w:rPr>
          <w:rFonts w:ascii="arial" w:eastAsia="arial" w:hAnsi="arial" w:cs="arial"/>
          <w:b w:val="0"/>
          <w:i w:val="0"/>
          <w:strike w:val="0"/>
          <w:noProof w:val="0"/>
          <w:color w:val="000000"/>
          <w:position w:val="0"/>
          <w:sz w:val="20"/>
          <w:u w:val="none"/>
          <w:vertAlign w:val="baseline"/>
        </w:rPr>
        <w:t xml:space="preserve"> and in consultation with the other Agencies, the Secretary will select finalists after considering the rank ordering, the recommendations of the Agencies that administer the programs for which the applicants are seeking flexibility, and other information including an applicant's performance and use of funds and compliance history under a previous award under any Agency program. In selecting pilots, the Agencies may consider high-ranking applications meeting Absolute Priority 2, Absolute Priority 3, and Absolute Priority 4 separately to ensure that there is a diversity of pilots. In addition, as required by the Acts, each pilot must meet all statutory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finalist, ED and any other Agencies implicated in the pilot will negotiate a performance agreement. If a performance agreement cannot be finalized for any applicant, an alternative applicant may be selected as a finalist instead. The recommended projects will be considered finalists until performance agreements are signed by all parties, and pilot designation will be awarded only after finalization and approval of each finalist's performance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7"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ED conducts a review of the risks posed by applicants. Under </w:t>
      </w:r>
      <w:hyperlink r:id="rId3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9"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0"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1"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3"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xml:space="preserve">, the Secretary may provide a grantee with additional funding for data collection analysis and reporting. In this case the Secretary establishes a data collection period. </w:t>
      </w:r>
      <w:r>
        <w:rPr>
          <w:rFonts w:ascii="arial" w:eastAsia="arial" w:hAnsi="arial" w:cs="arial"/>
          <w:b/>
          <w:i w:val="0"/>
          <w:strike w:val="0"/>
          <w:noProof w:val="0"/>
          <w:color w:val="000000"/>
          <w:position w:val="0"/>
          <w:sz w:val="20"/>
          <w:u w:val="none"/>
          <w:vertAlign w:val="baseline"/>
        </w:rPr>
        <w:t> [*54071]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As described earlier in this notice, the applicant must propose outcome measures and interim indicators to gauge pilot performance using Table 4. At least one outcome measure must be in the domain of education, and at least one outcome measure must be in the domain of employment. Applicants may specify additional employment and education outcome measures, as well as outcome measures in other domains of well-being, such as criminal justice, physical and mental health, and housing. Regardless of the outcome domain, applicants must identify at least one interim indicator for each proposed outcome measure. Applicants must indicate the source of the data for each outcome measure and interim indicator, the proposed frequency of collection, and the methodology used to collect the data. Outcome measures and interim indicators, along with the required reporting frequency for each, will be outlined in P3 performance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Braden Goetz, U.S. Department of Education, 400 Maryland Avenue SW., Room 11141, PCP, Washington, DC 20202. Telephone: (202) 245-7405 or by email: </w:t>
      </w:r>
      <w:hyperlink r:id="rId15" w:history="1">
        <w:r>
          <w:rPr>
            <w:rFonts w:ascii="arial" w:eastAsia="arial" w:hAnsi="arial" w:cs="arial"/>
            <w:b w:val="0"/>
            <w:i/>
            <w:strike w:val="0"/>
            <w:noProof w:val="0"/>
            <w:color w:val="0077CC"/>
            <w:position w:val="0"/>
            <w:sz w:val="20"/>
            <w:u w:val="single"/>
            <w:vertAlign w:val="baseline"/>
          </w:rPr>
          <w:t>disconnectedyouth@ed.gov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Johan E. Uvin,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Delegated the Duties of the Assistant Secretary for Career, Technical, and Adult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 Evaluation Commitment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 Scoring Rubric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 Evaluation Commitment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authorized executive of the lead applicant and all other partners, including State, local, tribal, and non-governmental organizations that would be involved in the pilot's implementation, must sign this form and submit it as an attachment to the grant application. The form is not considered in the recommended application page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Commitment To Participate in Required Evaluation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lead applicant or a partner proposing to implement a Performance Partnership Pilot through a Federal grant, I/we agree to carry out the following activities, which are considered evaluation requirements applicable to all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Facilitate Data Collection:</w:t>
      </w:r>
      <w:r>
        <w:rPr>
          <w:rFonts w:ascii="arial" w:eastAsia="arial" w:hAnsi="arial" w:cs="arial"/>
          <w:b w:val="0"/>
          <w:i w:val="0"/>
          <w:strike w:val="0"/>
          <w:noProof w:val="0"/>
          <w:color w:val="000000"/>
          <w:position w:val="0"/>
          <w:sz w:val="20"/>
          <w:u w:val="none"/>
          <w:vertAlign w:val="baseline"/>
        </w:rPr>
        <w:t xml:space="preserve"> I/we understand that the award of this grant requires me/us to facilitate the collection and/or transmission of data for evaluation and performance monitoring purposes to the lead Federal agency and/or its national evaluator in accordance with applicable Federal, State, and local, and tribal laws, including privacy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data that will be collected includes, but is not limited to, the following: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information, including participants' gender, race, age, school status, and employment status;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services that participants receive;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Outcome measures and interim outcome indicators, linked at the individual level, which will be used to measure the effects of the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Federal agency will provide more details to grantees on the data items required for performance and evaluation after grants have been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Participate in Evaluation:</w:t>
      </w:r>
      <w:r>
        <w:rPr>
          <w:rFonts w:ascii="arial" w:eastAsia="arial" w:hAnsi="arial" w:cs="arial"/>
          <w:b w:val="0"/>
          <w:i w:val="0"/>
          <w:strike w:val="0"/>
          <w:noProof w:val="0"/>
          <w:color w:val="000000"/>
          <w:position w:val="0"/>
          <w:sz w:val="20"/>
          <w:u w:val="none"/>
          <w:vertAlign w:val="baseline"/>
        </w:rPr>
        <w:t xml:space="preserve"> I/we understand that participation and full cooperation in the national evaluation of the Performance Partnership Pilot is a condition of this grant award. I/we understand that the national evaluation will include an implementation systems analysis and, for certain sites as appropriate, may also include an impact evaluation. My/our participation will include facilitating site visits and interviews; collaborating in study procedures, including random assignment, if necessary; and transmitting data that are needed for the evaluation of participants in the study sample, including those who may be in a control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Participate in Random Assignment:</w:t>
      </w:r>
      <w:r>
        <w:rPr>
          <w:rFonts w:ascii="arial" w:eastAsia="arial" w:hAnsi="arial" w:cs="arial"/>
          <w:b w:val="0"/>
          <w:i w:val="0"/>
          <w:strike w:val="0"/>
          <w:noProof w:val="0"/>
          <w:color w:val="000000"/>
          <w:position w:val="0"/>
          <w:sz w:val="20"/>
          <w:u w:val="none"/>
          <w:vertAlign w:val="baseline"/>
        </w:rPr>
        <w:t xml:space="preserve"> I/we agree that if our Performance Partnership Pilot or certain activities in the Pilot is selected for an impact evaluation as part of the national evaluation, it may be necessary to select participants for admission to Performance Partnership Pilot by a random lottery, using procedures established by the evaluator.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 Consent:</w:t>
      </w:r>
      <w:r>
        <w:rPr>
          <w:rFonts w:ascii="arial" w:eastAsia="arial" w:hAnsi="arial" w:cs="arial"/>
          <w:b w:val="0"/>
          <w:i w:val="0"/>
          <w:strike w:val="0"/>
          <w:noProof w:val="0"/>
          <w:color w:val="000000"/>
          <w:position w:val="0"/>
          <w:sz w:val="20"/>
          <w:u w:val="none"/>
          <w:vertAlign w:val="baseline"/>
        </w:rPr>
        <w:t xml:space="preserve"> I/we agree to include a consent form for, as appropriate, parents/guardians and students/participants in the application or enrollment packet for all youth in organizations implementing the Performance Partnership Pilot consistent with any Federal, State, local, and tribal laws that apply. The parental/participant consent forms will be collected prior to the acceptance of participants into Performance Partnership Pilot and before sharing data with the evaluator for the purpose of evaluating the Performance Partnership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 Scoring Rubric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Reviewers will assign points to an application for each selection sub-criterion, as well as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(Improving Outcomes for Youth Who Are Unemployed and Out of School) and 4 (Site-Specific Evaluation). In awarding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reviewers will make case-by-case determinations as to how well a particular application meets both parts of the priority. For example, more points may be awarded to an application proposing to serve a higher percentage of disconnected youth who are neither employed nor enrolled in education and who face significant barriers to accessing education and employment, and is likely to result in significantly better educational or employment outcomes for such youth based on the strength of the evidence base and/or logic model underlying the applicant's project design. ED will assign three points to an application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(Work-Based Learning Opportunities) if the application proposes to </w:t>
      </w:r>
      <w:r>
        <w:rPr>
          <w:rFonts w:ascii="arial" w:eastAsia="arial" w:hAnsi="arial" w:cs="arial"/>
          <w:b/>
          <w:i w:val="0"/>
          <w:strike w:val="0"/>
          <w:noProof w:val="0"/>
          <w:color w:val="000000"/>
          <w:position w:val="0"/>
          <w:sz w:val="20"/>
          <w:u w:val="none"/>
          <w:vertAlign w:val="baseline"/>
        </w:rPr>
        <w:t> [*54072] </w:t>
      </w:r>
      <w:r>
        <w:rPr>
          <w:rFonts w:ascii="arial" w:eastAsia="arial" w:hAnsi="arial" w:cs="arial"/>
          <w:b w:val="0"/>
          <w:i w:val="0"/>
          <w:strike w:val="0"/>
          <w:noProof w:val="0"/>
          <w:color w:val="000000"/>
          <w:position w:val="0"/>
          <w:sz w:val="20"/>
          <w:u w:val="none"/>
          <w:vertAlign w:val="baseline"/>
        </w:rPr>
        <w:t xml:space="preserve"> provide all disconnected youth that will be served by the project with paid work-based learning opportunities, such as opportunities during the summer, which are integrated with academic and technical instruction. ED will assign two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(Promise Zones) to an application if the application includes a HUD Form 50153 (Certification of Consistency with Promise Zone Goals and Implementation) that has been signed by an authorized Promise Zone official. In awarding points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(Site-Specific Evaluation), reviewers will consider the clarity and feasibility of the applicant's proposed evaluation design, the appropriateness of the design to best capture key pilot outcomes, the prospective contribution of the evaluation to the knowledge base about serving disconnected youth (including the rigor of the design and the validity and generalizability of the findings), and the applicant's demonstrated expertise in planning and conducting a randomized controlled trial or quasi-experimental evaluation design study. To help promote consistency across and within the panels that will review P3 applications, the Department has created a scoring rubric for reviewers to aid them in scoring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scoring rubric below shows the maximum number of points that may be assigned to each criterion, sub-criterion,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Selection criteria</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Sub-criterion points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Criterion points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Need for Project. 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project,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magnitude of the need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target population,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evidenced by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analysis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including data from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comprehensive needs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conducted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within the past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 using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data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from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 proposing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demonstrates how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population lags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behind other groups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achieving positive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and the specific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factors for this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Need for Requested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Blending of Funds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Waivers.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requested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blending of funds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waivers, we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The strength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justification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each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Federal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identified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Table 2 for which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is seeking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hinders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pilot;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The strength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justification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how each request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identified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2 (i.e., blending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and waivers)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efficiency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services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significantly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outcomes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population(s)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Project Design. 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strength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project design,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 The strength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logic of the proposed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design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 the gaps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disparities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Selection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(a)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and the barriers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Selection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Criterion (b) (Need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Flexibility,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Blending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and Other Waivers).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includes the clarity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applicant's plan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how the plan differs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current practices.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Scoring will account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strength of both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narrative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logic model;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 The strength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supporting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design and whether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applicant proposes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use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based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evidence-informed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interventions (as defined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notice) 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by citations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relevant evidence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informed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design;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 The strength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evidence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project design,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any protections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safeguards that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established, ensures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consequences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 of the changes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current practices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serving youth through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funding streams: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Will not result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denying or restricting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for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 whole or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are otherwise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funded by these programs;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Based on the best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 otherwise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vulnerable populations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the recipients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those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Work Plan and Project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strength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work plan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and completeness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work plan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and their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likelihood of achieving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objectives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project on time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within budget, based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Clearly defined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timelines, and milestones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accomplishing project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The qualifications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personnel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proper management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project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How any existing 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barriers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will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overcome.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Partnership Capacity.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determining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and capacity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pilot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we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the following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 How well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demonstrates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has an 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 structure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partners that are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implement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successfully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represented and have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necessary 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expertise,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incentives to achieve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goals and resolve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unforeseen issues,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 the extent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which, and how,</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partners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successfully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collaborated to improve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for disconnected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in the past;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 How well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demonstrates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its proposal was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designed with substantive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from all relevant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disconnected youth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community partners.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Data and Performance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Capacity.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strength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applicant's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capacity, we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factors--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(f)1. The applicant's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to collect,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analyze, and use data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decision-making,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continuous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plan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bridge any gaps in its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ability to do so. This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includes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extent to which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and partner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have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tracked and shared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program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outcomes,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execution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data-sharing agreements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comport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State, and other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laws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do so;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 How well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outcome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interim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methodologies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Table 4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appropriately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sufficiently gauge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achieved for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population under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 How well the data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specified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4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can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appropriately accessed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used to reliably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the proposed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 measures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indicators.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Budget and Budget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Narrative. In determining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adequacy of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that will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committed to support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we will consider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appropriateness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expenses within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with regards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to implementing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pilot successfully.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consider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entirety of funds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will use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its pilot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start-up grant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blended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braided funds included 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5, and non-Federal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including in-kind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preference priorities for applications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1: Improving Outcomes for Youth Who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Unemployed and Out of School.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this priority, an applicant must propose a pilot that--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will serve disconnected youth who are neither employed nor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in education and who face significant barriers to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education and employment;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is likely to result in significantly better educational 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outcomes for such youth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2: Work-Based Learning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this priority, an applicant must propose a pilot that will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all of the disconnected youth it proposes to serve with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 work-based learning opportunities, such as opportunities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summer, which are integrated with academic and technical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3: Promise Zones.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priority is for projects that are designed to serve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 with a federally designated Promise Zone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Preference Priority 4: Site-Specific Evaluation.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this priority, an applicant must propose to conduct an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evaluation of the impacts on disconnected youth of its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program or specific components of its program that is 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randomized controlled trial or a quasi-experimental design study.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extent to which an applicant meets this priority will be based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clarity and feasibility of the applicant's proposed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design, the appropriateness of the design to best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capture key pilot outcomes, the prospective contribution of the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to the knowledge base about serving disconnected youth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rigor of the design and the validity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generalizability of the findings), and the applicant's demonstrated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expertise in planning and conducting a randomized controlled trial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quasi-experimental design study</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case-by-case determinations will be made, the reviewers will be asked to consider the general ranges below as a guide when awarding points.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Quality of response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point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2016-19294 Filed 8-12-16;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54056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www.oppaga.state.fl.us/MonitorDocs/Reports/pdf/1055rpt.pdf" TargetMode="External" /><Relationship Id="rId12" Type="http://schemas.openxmlformats.org/officeDocument/2006/relationships/hyperlink" Target="http://www.ncjrs.gov/pdffiles1/nij/grants/228584.pdf" TargetMode="External" /><Relationship Id="rId13" Type="http://schemas.openxmlformats.org/officeDocument/2006/relationships/hyperlink" Target="http://www.hudexchange.info/programs/promise-zones/" TargetMode="External" /><Relationship Id="rId14" Type="http://schemas.openxmlformats.org/officeDocument/2006/relationships/hyperlink" Target="https://advance.lexis.com/api/document?collection=administrative-codes&amp;id=urn:contentItem:5BV6-FN90-006W-808J-00000-00&amp;context=" TargetMode="External" /><Relationship Id="rId15" Type="http://schemas.openxmlformats.org/officeDocument/2006/relationships/hyperlink" Target="mailto:disconnectedyouth@ed.gov" TargetMode="External" /><Relationship Id="rId16" Type="http://schemas.openxmlformats.org/officeDocument/2006/relationships/image" Target="media/image1.png" /><Relationship Id="rId17" Type="http://schemas.openxmlformats.org/officeDocument/2006/relationships/image" Target="media/image2.png" /><Relationship Id="rId18" Type="http://schemas.openxmlformats.org/officeDocument/2006/relationships/image" Target="media/image3.png" /><Relationship Id="rId19" Type="http://schemas.openxmlformats.org/officeDocument/2006/relationships/image" Target="media/image4.png" /><Relationship Id="rId2" Type="http://schemas.openxmlformats.org/officeDocument/2006/relationships/webSettings" Target="webSettings.xml" /><Relationship Id="rId20" Type="http://schemas.openxmlformats.org/officeDocument/2006/relationships/image" Target="media/image5.png" /><Relationship Id="rId21" Type="http://schemas.openxmlformats.org/officeDocument/2006/relationships/hyperlink" Target="https://advance.lexis.com/api/document?collection=administrative-codes&amp;id=urn:contentItem:5S7T-7HV0-008H-03HM-00000-00&amp;context=" TargetMode="External" /><Relationship Id="rId22" Type="http://schemas.openxmlformats.org/officeDocument/2006/relationships/hyperlink" Target="https://advance.lexis.com/api/document?collection=statutes-legislation&amp;id=urn:contentItem:4YF7-GMC1-NRF4-43PB-00000-00&amp;context=" TargetMode="External" /><Relationship Id="rId23" Type="http://schemas.openxmlformats.org/officeDocument/2006/relationships/hyperlink" Target="https://advance.lexis.com/api/document?collection=administrative-codes&amp;id=urn:contentItem:5GMB-DPC0-008H-02SJ-00000-00&amp;context=" TargetMode="External" /><Relationship Id="rId24" Type="http://schemas.openxmlformats.org/officeDocument/2006/relationships/hyperlink" Target="https://advance.lexis.com/api/document?collection=administrative-codes&amp;id=urn:contentItem:5G9C-N1H0-008H-002J-00000-00&amp;context=" TargetMode="External" /><Relationship Id="rId25" Type="http://schemas.openxmlformats.org/officeDocument/2006/relationships/hyperlink" Target="http://fedgov.dnb.com/webform" TargetMode="External" /><Relationship Id="rId26" Type="http://schemas.openxmlformats.org/officeDocument/2006/relationships/hyperlink" Target="http://www.SAM.gov" TargetMode="External" /><Relationship Id="rId27" Type="http://schemas.openxmlformats.org/officeDocument/2006/relationships/hyperlink" Target="http://www.grants.gov/web/grants/register.html" TargetMode="External" /><Relationship Id="rId28" Type="http://schemas.openxmlformats.org/officeDocument/2006/relationships/hyperlink" Target="http://www.Grants.gov"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www.grants.gov/web/grants/applicants/apply-for-grants.html" TargetMode="External" /><Relationship Id="rId31" Type="http://schemas.openxmlformats.org/officeDocument/2006/relationships/hyperlink" Target="https://advance.lexis.com/api/document?collection=administrative-codes&amp;id=urn:contentItem:5GMB-DPB0-008H-02GP-00000-00&amp;context=" TargetMode="External" /><Relationship Id="rId32" Type="http://schemas.openxmlformats.org/officeDocument/2006/relationships/hyperlink" Target="https://advance.lexis.com/api/document?collection=administrative-codes&amp;id=urn:contentItem:5KS0-F5W0-008H-023P-00000-00&amp;context=" TargetMode="External" /><Relationship Id="rId33" Type="http://schemas.openxmlformats.org/officeDocument/2006/relationships/hyperlink" Target="https://advance.lexis.com/api/document?collection=administrative-codes&amp;id=urn:contentItem:5R5H-J1H0-008H-043K-00000-00&amp;context=" TargetMode="External" /><Relationship Id="rId34" Type="http://schemas.openxmlformats.org/officeDocument/2006/relationships/hyperlink" Target="https://advance.lexis.com/api/document?collection=administrative-codes&amp;id=urn:contentItem:5KS0-F5W0-008H-024V-00000-00&amp;context=" TargetMode="External" /><Relationship Id="rId35" Type="http://schemas.openxmlformats.org/officeDocument/2006/relationships/hyperlink" Target="https://advance.lexis.com/api/document?collection=administrative-codes&amp;id=urn:contentItem:5KS0-F600-008H-02PT-00000-00&amp;context=" TargetMode="External" /><Relationship Id="rId36" Type="http://schemas.openxmlformats.org/officeDocument/2006/relationships/hyperlink" Target="https://advance.lexis.com/api/document?collection=administrative-codes&amp;id=urn:contentItem:5KS0-F5W0-008H-025B-00000-00&amp;context=" TargetMode="External" /><Relationship Id="rId37" Type="http://schemas.openxmlformats.org/officeDocument/2006/relationships/hyperlink" Target="https://advance.lexis.com/api/document?collection=administrative-codes&amp;id=urn:contentItem:5HDM-DHF0-008G-Y2NJ-00000-00&amp;context=" TargetMode="External" /><Relationship Id="rId38" Type="http://schemas.openxmlformats.org/officeDocument/2006/relationships/hyperlink" Target="https://advance.lexis.com/api/document?collection=administrative-codes&amp;id=urn:contentItem:5F34-Y1R0-008G-Y1F9-00000-00&amp;context=" TargetMode="External" /><Relationship Id="rId39" Type="http://schemas.openxmlformats.org/officeDocument/2006/relationships/hyperlink" Target="https://advance.lexis.com/api/document?collection=administrative-codes&amp;id=urn:contentItem:5F2R-48P0-008G-Y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7-00000-00&amp;context=" TargetMode="External" /><Relationship Id="rId41" Type="http://schemas.openxmlformats.org/officeDocument/2006/relationships/hyperlink" Target="https://advance.lexis.com/api/document?collection=administrative-codes&amp;id=urn:contentItem:5GMB-DPC0-008H-02SK-00000-00&amp;context="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https://advance.lexis.com/api/document?collection=administrative-codes&amp;id=urn:contentItem:5GMB-DPB0-008H-0272-00000-00&amp;context=" TargetMode="External" /><Relationship Id="rId44" Type="http://schemas.openxmlformats.org/officeDocument/2006/relationships/hyperlink" Target="http://www.gpo.gov/fdsys" TargetMode="External" /><Relationship Id="rId45" Type="http://schemas.openxmlformats.org/officeDocument/2006/relationships/hyperlink" Target="http://www.federalregister.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G3-PP50-006W-819T-00000-00&amp;context=" TargetMode="External" /><Relationship Id="rId8" Type="http://schemas.openxmlformats.org/officeDocument/2006/relationships/hyperlink" Target="http://www.childtrends.org/wp-content/uploads/2014/10/01_Dropout_Rates.pdf" TargetMode="External" /><Relationship Id="rId9" Type="http://schemas.openxmlformats.org/officeDocument/2006/relationships/hyperlink" Target="http://www.stuartfoundation.org/wp-content/uploads/2016/04/IAGpart2.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54056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