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544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003, Wednesday, January 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544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and Immediate Effectiveness of Proposed Rule Change To Modify the Fees for Managed Data Solutions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34-76797; File No. SR-NASDAQ-2015-158]</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December 18, 2015, The NASDAQ Stock Market LLC ("NASDAQ") filed with the Securities and Exchange Commission ("Commission") the proposed rule change as described in Items I, II, and III below, which Items have been prepared by NASDAQ.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the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proposes to modify the charges to be paid for Managed Data Solutions ("MDS"). While the changes proposed herein are effective upon filing, the Exchange has designated that the amendments be operative on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text of the proposed rule change is below. Proposed new language is italicized; proposed deletions are bracketed.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NASDAQ Stock Market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Equity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7026. Distribution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Managed Data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charges to be paid by Distributors and Subscribers of Managed Data Solutions products containing Nasdaq Depth data (non-display use only) shall be: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5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schedule for managed data</w:t>
            </w:r>
          </w:p>
        </w:tc>
        <w:tc>
          <w:tcPr>
            <w:tcW w:w="5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solutions</w:t>
            </w:r>
          </w:p>
        </w:tc>
        <w:tc>
          <w:tcPr>
            <w:tcW w:w="516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Managed Data Solution</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$[1]2,500/mo Per Distributor.</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Fee (for the</w:t>
            </w:r>
          </w:p>
        </w:tc>
        <w:tc>
          <w:tcPr>
            <w:tcW w:w="516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 to offer Managed Data</w:t>
            </w:r>
          </w:p>
        </w:tc>
        <w:tc>
          <w:tcPr>
            <w:tcW w:w="516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 to client</w:t>
            </w:r>
          </w:p>
        </w:tc>
        <w:tc>
          <w:tcPr>
            <w:tcW w:w="516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c>
          <w:tcPr>
            <w:tcW w:w="516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Nasdaq Depth Data Professional</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3[00]75/mo Per Subscriber.</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 Fee (Internal Use</w:t>
            </w:r>
          </w:p>
        </w:tc>
        <w:tc>
          <w:tcPr>
            <w:tcW w:w="516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and includes TotalView,</w:t>
            </w:r>
          </w:p>
        </w:tc>
        <w:tc>
          <w:tcPr>
            <w:tcW w:w="516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OpenView)</w:t>
            </w:r>
          </w:p>
        </w:tc>
        <w:tc>
          <w:tcPr>
            <w:tcW w:w="516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Nasdaq Depth Data</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60/mo Per Subscriber.</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Non-Professional Subscriber</w:t>
            </w:r>
          </w:p>
        </w:tc>
        <w:tc>
          <w:tcPr>
            <w:tcW w:w="516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Use Only and includes</w:t>
            </w:r>
          </w:p>
        </w:tc>
        <w:tc>
          <w:tcPr>
            <w:tcW w:w="5160" w:type="dxa"/>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TotalView, Level 2, OpenView)</w:t>
            </w:r>
          </w:p>
        </w:tc>
        <w:tc>
          <w:tcPr>
            <w:tcW w:w="51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Hardware-Based Delivery of Nasdaq Depth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charges to be paid by Distributors for processing Nasdaq Depth data sourced from a Nasdaq hardware-based market data format shall be: </w:t>
      </w:r>
      <w:r>
        <w:rPr>
          <w:rFonts w:ascii="arial" w:eastAsia="arial" w:hAnsi="arial" w:cs="arial"/>
          <w:b/>
          <w:i w:val="0"/>
          <w:strike w:val="0"/>
          <w:noProof w:val="0"/>
          <w:color w:val="000000"/>
          <w:position w:val="0"/>
          <w:sz w:val="20"/>
          <w:u w:val="none"/>
          <w:vertAlign w:val="baseline"/>
        </w:rPr>
        <w:t> [*545]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Hardware-Based delivery</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Monthly fee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Nasdaq depth data</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Only</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$ 25,000 Per Distributor.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Distributor</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Only</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 Per Distributor.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Distributor</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and External</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27,500 Per Distributor.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Distributor</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Managed Data Solution</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 = 1 Subscriber.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Fee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3,500 = 2 Subscribers.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 = 3 Subscribers].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 for the first Subscriber.</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 for each additional Subscriber.</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NASDAQ included statements concerning the purpose of and basis for the proposed rule change and discussed any comments it received on the proposed rule change. The text of these statements may be examined at the places specified in Item IV below. NASDAQ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rule change is to increase the charges to be paid by distributors and subscribers of Managed Data Solutions products containing Nasdaq Depth-of-Book data. Nasdaq Depth-of-Book data is defined in Nasdaq Rule 7023 to include TotalView, OpenView, and NASDAQ Level 2 (collectively, "Nasdaq Depth data"). Specifically, the Exchange proposes to increase the fee charged to distributors for the right to offer Managed Data Solutions to client organizations to $ 2,500 per month per distributor ("MDS Administration Fee"), and the fee charged to professional subscribers to $ 375 per month per subscriber ("MDS Subscriber Fee"). This proposed rule change will not affect the pricing for non-professional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also proposes to increase the administration fee charged to distributors for processing Nasdaq Depth data sourced from a Nasdaq hardware-based delivery option. This option uses field-programmable gate array ("FPGA") technology, and serves those customers requiring a predictable latency profile throughout the trading day. By taking advantage of hardware parallelism, FPGA technology is capable of processing more data packets during peak market conditions without the introduction of variable queuing latency. Specifically, the Exchange proposes to increase the tiered fee charged to distributors, which is based on the number of subscribers, to $ 5,000 per month for the first subscriber, and then $ 750 per month for each additional subscriber ("FPGA Distributor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MDS is a data delivery option available to distributors of Nasdaq Depth data information. Under the MDS fee structure, distributors may provide data feeds, Application Programming Interfaces (APIs) or similar automated delivery solutions to client organizations with only limited entitlement controls. Through this program, NASDAQ offers a much simpler administration process for MDS distributors and subscribers, reducing the burden and cost of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Subscribers of MDS may use the information for internal purposes only and may not distribute the information outside of their organization. MDS presents opportunities for small and mid-size firms to achieve significant cost savings over the cost of data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both the MDS Administration Fee and MDS Subscriber Fee have not changed since their introduction in 2010, NASDAQ is changing these fees now to remain consistent with the revised direct access non-display fee to maintain price uniformity between these two methods of accessing non-display depth information. n3 Similarly, the Exchange has not increased the FPGA Distributor Fee since its introduction in 2012. Nevertheless, both distributors and subscribers reap the benefits of NASDAQ's constant focus on the performance and enhancements to these offerings. As such, NASDAQ recently completed a technology refresh to ensure that its data feeds continue to achieve a high level of performance and resiliency. The Exchange has also upgraded and refreshed its disaster recovery capabilities, adding to the increased focus on redundancy and resiliency.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SR-NASDAQ-2015-157 (filed December 18,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n4 in general, and with Sections 6(b)(4) and 6(b)(5) of the Act, n5 in particular, in that it provides an equitable allocation of reasonable fees among Subscribers and recipients of NASDAQ data and is not designed to permit unfair discrimination between them. NASDAQ's proposal to increase the MDS Administration Fee, MDS Subscriber Fee and FPGA Distributor Fee is also consistent with the Act in that it reflects an equitable allocation of reasonable fees. The Commission has long recognized the fair and equitable and not unreasonably discriminatory nature of assessing different fees for distributors and professional and non-professional users of the same data. NASDAQ also believes it is equitable to assess a higher fee per professional user than to an ordinary non-professional user due to the enhanced flexibility, lower overall costs and value that it offers distributors.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0"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0"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self-regulatory organizations and broker-dealers increased authority and flexibility to offer new and unique market data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NMS--by deregulating the market in proprietary data--would itself further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11"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val="0"/>
          <w:strike w:val="0"/>
          <w:noProof w:val="0"/>
          <w:color w:val="000000"/>
          <w:position w:val="0"/>
          <w:sz w:val="20"/>
          <w:u w:val="none"/>
          <w:vertAlign w:val="baseline"/>
        </w:rPr>
        <w:t> [*546]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 If the free market should determine whether proprietary data is sold to broker-dealers at all, it follows that the price at which such data is sold should be set by the market as well. Level 2, NASDAQ TotalView and NASDAQ OpenView are precisely the sort of market data products that the Commission envisioned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12"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 upheld the Commission's reliance upon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set reasonable and equitably allocated fees for market data. "In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535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321,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at 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while upholding the Commission's conclusion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may be relied upon to establish the fairness of prices, nevertheless concluded that the record </w:t>
      </w:r>
      <w:r>
        <w:rPr>
          <w:rFonts w:ascii="arial" w:eastAsia="arial" w:hAnsi="arial" w:cs="arial"/>
          <w:b w:val="0"/>
          <w:i/>
          <w:strike w:val="0"/>
          <w:noProof w:val="0"/>
          <w:color w:val="000000"/>
          <w:position w:val="0"/>
          <w:sz w:val="20"/>
          <w:u w:val="none"/>
          <w:vertAlign w:val="baseline"/>
        </w:rPr>
        <w:t>in that case</w:t>
      </w:r>
      <w:r>
        <w:rPr>
          <w:rFonts w:ascii="arial" w:eastAsia="arial" w:hAnsi="arial" w:cs="arial"/>
          <w:b w:val="0"/>
          <w:i w:val="0"/>
          <w:strike w:val="0"/>
          <w:noProof w:val="0"/>
          <w:color w:val="000000"/>
          <w:position w:val="0"/>
          <w:sz w:val="20"/>
          <w:u w:val="none"/>
          <w:vertAlign w:val="baseline"/>
        </w:rPr>
        <w:t xml:space="preserve"> did not adequately support the Commission's conclusions as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for NYSE Arca's data product at issue in that case. As explained below in NASDAQ's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however, NASDAQ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data that was not in the record in the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case, and that the Commission is entitled to rely upon such evidence in concluding fees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therefore in accordance with the relevant statutory standards. n8 Accordingly, any findings of the court with respect to that product may not be relevant to the product at issue in this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It should also be noted that Section 916 of the Dodd-Frank Wall Street Reform and Consumer Protection Act of 2010 ("Dodd-Frank Act") has amended paragraph (A) of Section 19(b)(3) of the Act, </w:t>
      </w:r>
      <w:hyperlink r:id="rId8" w:history="1">
        <w:r>
          <w:rPr>
            <w:rFonts w:ascii="arial" w:eastAsia="arial" w:hAnsi="arial" w:cs="arial"/>
            <w:b w:val="0"/>
            <w:i/>
            <w:strike w:val="0"/>
            <w:noProof w:val="0"/>
            <w:color w:val="0077CC"/>
            <w:position w:val="0"/>
            <w:sz w:val="20"/>
            <w:u w:val="single"/>
            <w:vertAlign w:val="baseline"/>
          </w:rPr>
          <w:t>15 U.S.C. 78s(b)(3)</w:t>
        </w:r>
      </w:hyperlink>
      <w:r>
        <w:rPr>
          <w:rFonts w:ascii="arial" w:eastAsia="arial" w:hAnsi="arial" w:cs="arial"/>
          <w:b w:val="0"/>
          <w:i w:val="0"/>
          <w:strike w:val="0"/>
          <w:noProof w:val="0"/>
          <w:color w:val="000000"/>
          <w:position w:val="0"/>
          <w:sz w:val="20"/>
          <w:u w:val="none"/>
          <w:vertAlign w:val="baseline"/>
        </w:rPr>
        <w:t xml:space="preserve">, to make it clear that all exchange fees, including fees for market data, may be filed by exchanges on an immediately effective basis.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NetCoalition v.  SEC, 715 F.3d 342 (D.C. Cir. 2013)</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NetCoalition II</w:t>
      </w:r>
      <w:r>
        <w:rPr>
          <w:rFonts w:ascii="arial" w:eastAsia="arial" w:hAnsi="arial" w:cs="arial"/>
          <w:b w:val="0"/>
          <w:i w:val="0"/>
          <w:strike w:val="0"/>
          <w:noProof w:val="0"/>
          <w:color w:val="000000"/>
          <w:position w:val="0"/>
          <w:sz w:val="20"/>
          <w:u w:val="none"/>
          <w:vertAlign w:val="baseline"/>
        </w:rPr>
        <w:t xml:space="preserve"> ") (finding no jurisdiction to review Commission's non-suspension of immediately effective fee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that the allocation of the proposed fee is fair and equitable in accordance with Section 6(b)(4) of the Act, and not unreasonably discriminatory in accordance with Section 6(b)(5) of the Act. As described above, the proposed fee is based on pricing conventions and distinctions that exist in NASDAQ's current fee schedule. These distinctions are each based on principles of fairness and equity that have helped for many years to maintain fair, equitable, and not unreasonably discriminatory fees, and that apply with equal or greater force to the current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greater detail below, if NASDAQ has calculated improperly and the market deems the proposed fees to be unfair, inequitable, or unreasonably discriminatory, firms can discontinue the use of their data because the proposed product is entirely optional to all parties. Firms are not required to purchase data and NASDAQ is not required to make data available or to offer specific pricing alternatives for potential purchases. NASDAQ can discontinue offering a pricing alternative (as it has in the past) and firms can discontinue their use at any time and for any reason (as they often do), including due to their assessment of the reasonableness of fees charged. NASDAQ continues to establish and revise pricing policies aimed at increasing fairness and equitable allocation of fees among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NASDAQ believes that periodically it must adjust the Subscriber fees to reflect market forces. NASDAQ believes it is an appropriate time to adjust this fee to more accurately reflect the investments made to enhance this product through capacity upgrades. This also reflects that the market for this information is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continually evolves as products develop and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 Notwithstanding its determination that the Commission may rely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establish fair and equitably allocated fees for market data,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court found that the Commission had not, in that case, compiled a record that adequately supported its conclusion that the market for the data at issue in the case was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NASDAQ believes that a record may readily be established to demonstrate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intense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trading platforms that provide transaction execution and routing services and proprietary data products. Transaction execution and proprietary data products are complementary in that market data is both an input and a byproduct of the execution service. In fact, market data and trade execution are a paradigmatic example of joint products with joint costs. Data products are valuable to many end Subscribers only insofar as they provide information that end Subscribers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an exchange's customers view the costs of transaction executions and of data as a unified cost of doing business with the exchange. A broker-dealer ("BD") will direct orders to a particular exchange only if the expected revenues from executing trades on the exchange exceed net transaction execution costs and the cost of data that the BD chooses to buy to support its trading decisions (or those of its customers). The choice of data products is, in turn, a product of the value of the products in making profitable trading decisions. If the cost of the product exceeds its expected value, the BD will choose not to buy it. Moreover, as a BD chooses to direct fewer orders to a particular exchange, the value of the product to that BD decreases, for two reasons. First, the product will contain less information, because executions of the BD's orders will not be reflected in it. Second, and perhaps more important, the product will be less valuable to that BD because it does not provide information about the venue to which it is directing its orders. Data from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 </w:t>
      </w:r>
      <w:r>
        <w:rPr>
          <w:rFonts w:ascii="arial" w:eastAsia="arial" w:hAnsi="arial" w:cs="arial"/>
          <w:b/>
          <w:i w:val="0"/>
          <w:strike w:val="0"/>
          <w:noProof w:val="0"/>
          <w:color w:val="000000"/>
          <w:position w:val="0"/>
          <w:sz w:val="20"/>
          <w:u w:val="none"/>
          <w:vertAlign w:val="baseline"/>
        </w:rPr>
        <w:t> [*547] </w:t>
      </w:r>
      <w:r>
        <w:rPr>
          <w:rFonts w:ascii="arial" w:eastAsia="arial" w:hAnsi="arial" w:cs="arial"/>
          <w:b w:val="0"/>
          <w:i w:val="0"/>
          <w:strike w:val="0"/>
          <w:noProof w:val="0"/>
          <w:color w:val="000000"/>
          <w:position w:val="0"/>
          <w:sz w:val="20"/>
          <w:u w:val="none"/>
          <w:vertAlign w:val="baseline"/>
        </w:rPr>
        <w:t xml:space="preserve"> to which the BD is directing orders will become correspondingly more valuable.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an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at 24. However,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with order flow, since they may readily reduce costs by directing orders toward the lowest-cost trading venues. A BD that shifted its order flow from one platform to another in response to order execution price differentials would both reduce the value of that platform's market data and reduce its own need to consume data from the disfavored platform. Similarly, if a platform increases its market data fees, the change will affect the overall cost of doing business with the platform, and affected BDs will assess whether they can lower their trading costs by directing orders elsewhere and thereby lessening the need for the more expensive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distribution in isolation from the cost of all of the inputs supporting the creation of market data will inevitably underestimate the cost of the data. Thus, because it is impossible to create data without a fast, technologically robust, and well-regulated execution system, system costs and regulatory costs affect the price of market data. It would be equally misleading, however, to attribute all of the exchange's costs to the market data portion of an exchange's joint product. Rather,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but different platforms may choose from a range of possible, and equally reasonable, pricing strategies as the means of recovering total costs. NASDAQ pays rebates to attract orders, charges relatively low prices for market information and charges relatively high prices for accessing posted liquidity. Other platforms may choose a strategy of paying lower liquidity rebates to attract orders, setting relatively low prices for accessing posted liquidity, and setting relatively high prices for market information. Still others may provide most data free of charge and rely exclusively on transaction fees to recover their costs. Finally, some platforms may incentivize use by providing opportunities for equity ownership, which may allow them to charge lower direct fees for executions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because an "excessive" price for one of the joint products will ultimately have to be reflected in lower prices for other products sold by the firm, or otherwise the firm will experience a loss in the volume of its sales that will be adverse to its overall profitability. In other words, an increase in the price of data will ultimately have to be accompanied by a decrease in the cost of executions, or the volume of both data and executions will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eleven SRO markets, as well as internalizing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NASDAQ, NYSE, NYSE MKT, NYSE Arca, and BATS/Direct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ATS or BD can combine with any other ATS, BD, or multiple ATSs or BDs to produce joint proprietary data products. Additionally, order routers and market data vendors can facilitate single or multiple BDs' production of proprietary data products. The potential sources of proprietary products are virtually limitless. Notably, the potential sources of data include the BDs that submit trade reports to TRFs and that have the ability to consolidate and distribute their data without the involvement of FINRA or an exchange-operated TRF.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BDs,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as BATS and NYSE Arca did before registering as exchanges by publishing proprietary book data on the internet. Second, because a single order or transaction report can appear in a core data product, an SRO proprietary product, and/or a non-SRO proprietary product, the data available in proprietary products is exponentially greater than the actual number of orders and transaction reports that exist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inexpensive, and profitable. The history of electronic trading is replete with examples of entrants that swiftly grew into some of the largest electronic trading platforms and proprietary data producers: Archipelago, Bloomberg Tradebook, Island, RediBook, Attain, TracECN, BATS Trading and BATS/Direct Edge. A proliferation of dark pools and other ATSs operate profitably with fragmentary shares of consolidated market volume.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by deregulating the market for proprietary data, has increased the contestability of that market. While BDs have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BDs to produce proprietary products cooperatively in a manner never before possible. Multiple market data vendors already have the capability to aggregate data and disseminate it on a profitable scale, including Bloomberg and Thomson Reuters. In Europe, Cinnober aggregates and disseminates data from over 40 brokers and multilateral trading facilities.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 xml:space="preserve">See </w:t>
      </w:r>
      <w:hyperlink r:id="rId14" w:history="1">
        <w:r>
          <w:rPr>
            <w:rFonts w:ascii="arial" w:eastAsia="arial" w:hAnsi="arial" w:cs="arial"/>
            <w:b w:val="0"/>
            <w:i/>
            <w:strike w:val="0"/>
            <w:noProof w:val="0"/>
            <w:color w:val="0077CC"/>
            <w:position w:val="0"/>
            <w:sz w:val="20"/>
            <w:u w:val="single"/>
            <w:vertAlign w:val="baseline"/>
          </w:rPr>
          <w:t>http://www.cinnober.com/boat-trade-reporting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environment, a super-</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539.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w:t>
      </w:r>
      <w:r>
        <w:rPr>
          <w:rFonts w:ascii="arial" w:eastAsia="arial" w:hAnsi="arial" w:cs="arial"/>
          <w:b/>
          <w:i w:val="0"/>
          <w:strike w:val="0"/>
          <w:noProof w:val="0"/>
          <w:color w:val="000000"/>
          <w:position w:val="0"/>
          <w:sz w:val="20"/>
          <w:u w:val="none"/>
          <w:vertAlign w:val="baseline"/>
        </w:rPr>
        <w:t> [*548] </w:t>
      </w:r>
      <w:r>
        <w:rPr>
          <w:rFonts w:ascii="arial" w:eastAsia="arial" w:hAnsi="arial" w:cs="arial"/>
          <w:b w:val="0"/>
          <w:i w:val="0"/>
          <w:strike w:val="0"/>
          <w:noProof w:val="0"/>
          <w:color w:val="000000"/>
          <w:position w:val="0"/>
          <w:sz w:val="20"/>
          <w:u w:val="none"/>
          <w:vertAlign w:val="baseline"/>
        </w:rPr>
        <w:t xml:space="preserve"> on the part of BDs with order flow, since they may readily reduce costs by directing orders toward the lowest-cost trading venues. A BD that shifted its order flow from one platform to another in response to order execution price differentials would both reduce the value of that platform's market data and reduce its own need to consume data from the disfavored platform. If a platform increases its market data fees, the change will affect the overall cost of doing business with the platform, and affected BDs will assess whether they can lower their trading costs by directing orders elsewhere and thereby lessening the need for the more expensive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were neither solicited nor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n10 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to determine whether the proposed rule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as amended,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6"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SR-NASDAQ-2015-158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SR-NASDAQ-2015-158. This file number should be included on the subject line if email is used. To help the Commission process and review your comments more efficiently, please use only one method. The Commission will post all comments on the Commission's Internet Web site (</w:t>
      </w:r>
      <w:hyperlink r:id="rId1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on official business days between the hours of 10:00 a.m. and 3:00 p.m. Copies of such filing also will be available for inspection and copying at the principal offices of the Exchange. All comments received will be posted without change; the Commission does not edit personal identifying information from submissions. You should submit only information that you wish to make available publicly. All submissions should refer to File Number SR-NASDAQ-2015-158, and should be submitted on or before January 27,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7"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authority.&lt;11&gt;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Jill M. Peterson,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2015-33208 Filed 1-5-16;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544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C1-NRF4-4309-00000-00&amp;context=" TargetMode="External" /><Relationship Id="rId11" Type="http://schemas.openxmlformats.org/officeDocument/2006/relationships/hyperlink" Target="https://advance.lexis.com/api/document?collection=administrative-codes&amp;id=urn:contentItem:4GH9-4PB0-014W-D1VJ-00000-00&amp;context=" TargetMode="External" /><Relationship Id="rId12" Type="http://schemas.openxmlformats.org/officeDocument/2006/relationships/hyperlink" Target="https://advance.lexis.com/api/document?collection=cases&amp;id=urn:contentItem:803V-DT30-YB0V-T01B-00000-00&amp;context=" TargetMode="External" /><Relationship Id="rId13" Type="http://schemas.openxmlformats.org/officeDocument/2006/relationships/hyperlink" Target="https://advance.lexis.com/api/document?collection=cases&amp;id=urn:contentItem:589M-GYC1-F04K-Y02R-00000-00&amp;context=" TargetMode="External" /><Relationship Id="rId14" Type="http://schemas.openxmlformats.org/officeDocument/2006/relationships/hyperlink" Target="http://www.cinnober.com/boat-trade-reporting" TargetMode="External" /><Relationship Id="rId15" Type="http://schemas.openxmlformats.org/officeDocument/2006/relationships/hyperlink" Target="http://www.sec.gov/rules/sro.shtml" TargetMode="External" /><Relationship Id="rId16" Type="http://schemas.openxmlformats.org/officeDocument/2006/relationships/hyperlink" Target="mailto:rule-comments@sec.gov" TargetMode="External" /><Relationship Id="rId17" Type="http://schemas.openxmlformats.org/officeDocument/2006/relationships/hyperlink" Target="https://advance.lexis.com/api/document?collection=administrative-codes&amp;id=urn:contentItem:5SPP-2120-008G-Y2ND-00000-00&amp;context=" TargetMode="Externa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ST-K5J0-006W-82Y3-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53271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71564255</vt:lpwstr>
  </property>
  <property fmtid="{D5CDD505-2E9C-101B-9397-08002B2CF9AE}" pid="3" name="LADocCount">
    <vt:lpwstr>1</vt:lpwstr>
  </property>
  <property fmtid="{D5CDD505-2E9C-101B-9397-08002B2CF9AE}" pid="4" name="UserPermID">
    <vt:lpwstr>urn:user:PA185916758</vt:lpwstr>
  </property>
</Properties>
</file>