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551</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003, Wednesday, January 6,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551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January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January 6,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NASDAQ OMX PHLX LLC; Notice of Filing and Immediate Effectiveness of Proposed Rule Change To Modify the Fees for Managed Data Solutions</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34-76799; File No. SR-Phlx-2015-112]</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December 30, 2105.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19(b)(1) of the Securities Exchange Act of 1934 ("Act"), n1 and Rule 19b-4 thereunder, n2 notice is hereby given that on December 18, 2015, The NASDAQ OMX PHLX LLC ("Phlx") filed with the Securities and Exchange Commission ("Commission") the proposed rule change as described in Items I, II, and III below, which Items have been prepared by Phlx. The Commission is publishing this notice to solicit comments on the proposed rule change from interested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the Substance of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Phlx proposes to modify the charges to be paid for Managed Data Solutions ("MDS"). While the changes proposed herein are effective upon filing, the Exchange has designated that the amendments be operative on January 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text of the proposed rule change is below. Proposed new language is italicized; proposed deletions are bracketed.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NASDAQ OMX PHLX Rules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NASDAQ OMX PHLX LLC Pricing Schedule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NASDAQ OMX PSX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PSX Managed Data Solutions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Distributors and Subscribers of Managed Data Solutions products containing PSX TotalView data (non-display use only) shall pay the following fees: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 schedule for managed data</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Price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Solutions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Managed Data Solutions Administration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$[750]1,500/mo Per Distributor.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Fee (for the right to offer Managed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Solutions to client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organizations)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PSX Depth Data Professional Managed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$ 1[0]50/mo Per Subscriber.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Solutions Subscriber Fee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(Internal Use Only and includes PSX</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TotalView)</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PSX Depth Data Managed Data Solutions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$ 20/mo Per Subscriber.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Non-Professional Subscriber Fee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(Internal Use Only and includes PSX</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TotalView)</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Fees are per month for all or any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portion of the month in which the MDS</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products are accessed.</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No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filing with the Commission, Phlx included statements concerning the purpose of and basis for the proposed rule change and discussed any comments it received on the proposed rule change. The text of these statements may be examined at the places specified in Item IV below. Phlx has prepared summaries, set forth in Sections A, B, and C below, of the most significant aspects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the proposed rule change is to increase the charges to be paid by distributors and subscribers of Managed Data Solutions products containing PSX TotalView data (non-display use only). Specifically, the Exchange proposes to increase the fee charged to distributors for the right to offer Managed Data Solutions to client organizations to $ 1,500 per month per distributor ("MDS Administration Fee"), and the fee charged to professional subscribers to $ 150 per month per subscriber ("MDS Subscriber Fee"). This proposed rule change will not affect the pricing for non-professional subscribers.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MDS is a data delivery option available to distributors of PSX TotalView. Under the MDS fee structure, distributors may provide data feeds, Application Programming Interfaces (APIs) or similar automated delivery solutions to client organizations with only limited entitlement controls. Through this program, Phlx offers a much simpler administration process for MDS distributors and subscribers, reducing the burden and cost of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Subscribers of MDS may use the information for internal purposes only and may not distribute the information outside of their organization. MDS presents opportunities for small and mid-size firms to achieve significant cost savings over the cost of data feeds.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the MDS Administration Fee and MDS Subscriber Fee have not changed since their introduction in 2013. Nevertheless, both distributors and subscribers reap the benefits of Phlx's constant focus on the performance and enhancements to these offerings. As such, Phlx recently completed a technology refresh to ensure that its data feeds continue to achieve a high level of performance and resiliency. The Exchange has also upgraded and refreshed its disaster recovery capabilities, adding to the increased focus on redundancy and resiliency.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believes that the proposed rule change is consistent with the provisions of Section 6 of the Act, n3 in general, and with Sections 6(b)(4) and 6(b)(5) of the Act, n4 in particular, in that it provides an equitable allocation of reasonable fees among Subscribers and recipients of Phlx data and is not designed to permit unfair discrimination between them. Phlx's proposal to increase the MDS Administration Fee and MDS Subscriber Fee is also consistent with the Act in that it reflects an equitable allocation of reasonable fees. The Commission has long recognized the fair and equitable and not unreasonably discriminatory nature of assessing different fees for distributors and professional and non-professional users of the same data. Phlx also believes it is equitable to assess a higher fee per professional user than to an ordinary non-professional user due to the enhanced flexibility, lower </w:t>
      </w:r>
      <w:r>
        <w:rPr>
          <w:rFonts w:ascii="arial" w:eastAsia="arial" w:hAnsi="arial" w:cs="arial"/>
          <w:b/>
          <w:i w:val="0"/>
          <w:strike w:val="0"/>
          <w:noProof w:val="0"/>
          <w:color w:val="000000"/>
          <w:position w:val="0"/>
          <w:sz w:val="20"/>
          <w:u w:val="none"/>
          <w:vertAlign w:val="baseline"/>
        </w:rPr>
        <w:t> [*552] </w:t>
      </w:r>
      <w:r>
        <w:rPr>
          <w:rFonts w:ascii="arial" w:eastAsia="arial" w:hAnsi="arial" w:cs="arial"/>
          <w:b w:val="0"/>
          <w:i w:val="0"/>
          <w:strike w:val="0"/>
          <w:noProof w:val="0"/>
          <w:color w:val="000000"/>
          <w:position w:val="0"/>
          <w:sz w:val="20"/>
          <w:u w:val="none"/>
          <w:vertAlign w:val="baseline"/>
        </w:rPr>
        <w:t xml:space="preserve"> overall costs and value that it offers distributors.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hyperlink r:id="rId10" w:history="1">
        <w:r>
          <w:rPr>
            <w:rFonts w:ascii="arial" w:eastAsia="arial" w:hAnsi="arial" w:cs="arial"/>
            <w:b w:val="0"/>
            <w:i/>
            <w:strike w:val="0"/>
            <w:noProof w:val="0"/>
            <w:color w:val="0077CC"/>
            <w:position w:val="0"/>
            <w:sz w:val="20"/>
            <w:u w:val="single"/>
            <w:vertAlign w:val="baseline"/>
          </w:rPr>
          <w:t>15 U.S.C. 78f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hyperlink r:id="rId10"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 xml:space="preserve"> and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adopting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the Commission granted self-regulatory organizations and broker-dealers increased authority and flexibility to offer new and unique market data to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concluded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NMS--by deregulating the market in proprietary data--would itself further the Act's goals of facilitating efficiency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[E]fficiency is promoted when broker-dealers who do not need the data beyond the prices, sizes, market center identifications of the NBBO and consolidated last sale information are not required to receive (and pay for) such data. The Commission also believes that efficiency is promoted when broker-dealers may choose to receive (and pay for) additional market data based on their own internal analysis of the need for such data. n5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51808 (June 9, 2005), </w:t>
      </w:r>
      <w:hyperlink r:id="rId11" w:history="1">
        <w:r>
          <w:rPr>
            <w:rFonts w:ascii="arial" w:eastAsia="arial" w:hAnsi="arial" w:cs="arial"/>
            <w:b w:val="0"/>
            <w:i/>
            <w:strike w:val="0"/>
            <w:noProof w:val="0"/>
            <w:color w:val="0077CC"/>
            <w:position w:val="0"/>
            <w:sz w:val="20"/>
            <w:u w:val="single"/>
            <w:vertAlign w:val="baseline"/>
          </w:rPr>
          <w:t>70 FR 37496</w:t>
        </w:r>
      </w:hyperlink>
      <w:r>
        <w:rPr>
          <w:rFonts w:ascii="arial" w:eastAsia="arial" w:hAnsi="arial" w:cs="arial"/>
          <w:b w:val="0"/>
          <w:i w:val="0"/>
          <w:strike w:val="0"/>
          <w:noProof w:val="0"/>
          <w:color w:val="000000"/>
          <w:position w:val="0"/>
          <w:sz w:val="20"/>
          <w:u w:val="none"/>
          <w:vertAlign w:val="baseline"/>
        </w:rPr>
        <w:t xml:space="preserve"> (June 29,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removing "unnecessary regulatory restrictions" on the ability of exchanges to sell their own data,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advanced the goals of the Act and the principles reflected in its legislative history. If the free market should determine whether proprietary data is sold to broker-dealers at all, it follows that the price at which such data is sold should be set by the market as well. PSX TotalView is precisely the sort of market data product that the Commission envisioned when it adopted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decision of the United States Court of Appeals for the District of Columbia Circuit in </w:t>
      </w:r>
      <w:hyperlink r:id="rId12" w:history="1">
        <w:r>
          <w:rPr>
            <w:rFonts w:ascii="arial" w:eastAsia="arial" w:hAnsi="arial" w:cs="arial"/>
            <w:b w:val="0"/>
            <w:i/>
            <w:strike w:val="0"/>
            <w:noProof w:val="0"/>
            <w:color w:val="0077CC"/>
            <w:position w:val="0"/>
            <w:sz w:val="20"/>
            <w:u w:val="single"/>
            <w:vertAlign w:val="baseline"/>
          </w:rPr>
          <w:t>NetCoalition v. SEC, 615 F.3d 525 (D.C. Cir. 2010)</w:t>
        </w:r>
      </w:hyperlink>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NetCoalition I"</w:t>
      </w:r>
      <w:r>
        <w:rPr>
          <w:rFonts w:ascii="arial" w:eastAsia="arial" w:hAnsi="arial" w:cs="arial"/>
          <w:b w:val="0"/>
          <w:i w:val="0"/>
          <w:strike w:val="0"/>
          <w:noProof w:val="0"/>
          <w:color w:val="000000"/>
          <w:position w:val="0"/>
          <w:sz w:val="20"/>
          <w:u w:val="none"/>
          <w:vertAlign w:val="baseline"/>
        </w:rPr>
        <w:t xml:space="preserve">), upheld the Commission's reliance upon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to set reasonable and equitably allocated fees for market data. "In fact, the legislative history indicates that the Congress intended that the market system evolve through the interplay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as unnecessary regulatory restrictions are removed' and that the SEC wield its regulatory power in those situations where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may not be sufficient,' such as in the creation of a consolidated transactional reporting system.' </w:t>
      </w:r>
      <w:r>
        <w:rPr>
          <w:rFonts w:ascii="arial" w:eastAsia="arial" w:hAnsi="arial" w:cs="arial"/>
          <w:b w:val="0"/>
          <w:i/>
          <w:strike w:val="0"/>
          <w:noProof w:val="0"/>
          <w:color w:val="000000"/>
          <w:position w:val="0"/>
          <w:sz w:val="20"/>
          <w:u w:val="none"/>
          <w:vertAlign w:val="baseline"/>
        </w:rPr>
        <w:t>NetCoalition I,</w:t>
      </w:r>
      <w:r>
        <w:rPr>
          <w:rFonts w:ascii="arial" w:eastAsia="arial" w:hAnsi="arial" w:cs="arial"/>
          <w:b w:val="0"/>
          <w:i w:val="0"/>
          <w:strike w:val="0"/>
          <w:noProof w:val="0"/>
          <w:color w:val="000000"/>
          <w:position w:val="0"/>
          <w:sz w:val="20"/>
          <w:u w:val="none"/>
          <w:vertAlign w:val="baseline"/>
        </w:rPr>
        <w:t xml:space="preserve"> at 535 (quoting H.R. Rep. No. 94-229, at 92 (1975), </w:t>
      </w:r>
      <w:r>
        <w:rPr>
          <w:rFonts w:ascii="arial" w:eastAsia="arial" w:hAnsi="arial" w:cs="arial"/>
          <w:b w:val="0"/>
          <w:i/>
          <w:strike w:val="0"/>
          <w:noProof w:val="0"/>
          <w:color w:val="000000"/>
          <w:position w:val="0"/>
          <w:sz w:val="20"/>
          <w:u w:val="none"/>
          <w:vertAlign w:val="baseline"/>
        </w:rPr>
        <w:t>as reprinted in</w:t>
      </w:r>
      <w:r>
        <w:rPr>
          <w:rFonts w:ascii="arial" w:eastAsia="arial" w:hAnsi="arial" w:cs="arial"/>
          <w:b w:val="0"/>
          <w:i w:val="0"/>
          <w:strike w:val="0"/>
          <w:noProof w:val="0"/>
          <w:color w:val="000000"/>
          <w:position w:val="0"/>
          <w:sz w:val="20"/>
          <w:u w:val="none"/>
          <w:vertAlign w:val="baseline"/>
        </w:rPr>
        <w:t xml:space="preserve"> 1975 U.S.C.C.A.N. 321, 323). The court agreed with the Commission's conclusion that "Congress intended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should dictate the services and practices that constitute the U.S. national market system for trading equity securities.' " n6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NetCoalition I,</w:t>
      </w:r>
      <w:r>
        <w:rPr>
          <w:rFonts w:ascii="arial" w:eastAsia="arial" w:hAnsi="arial" w:cs="arial"/>
          <w:b w:val="0"/>
          <w:i w:val="0"/>
          <w:strike w:val="0"/>
          <w:noProof w:val="0"/>
          <w:color w:val="000000"/>
          <w:position w:val="0"/>
          <w:sz w:val="20"/>
          <w:u w:val="none"/>
          <w:vertAlign w:val="baseline"/>
        </w:rPr>
        <w:t xml:space="preserve"> at 535.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in </w:t>
      </w:r>
      <w:r>
        <w:rPr>
          <w:rFonts w:ascii="arial" w:eastAsia="arial" w:hAnsi="arial" w:cs="arial"/>
          <w:b w:val="0"/>
          <w:i/>
          <w:strike w:val="0"/>
          <w:noProof w:val="0"/>
          <w:color w:val="000000"/>
          <w:position w:val="0"/>
          <w:sz w:val="20"/>
          <w:u w:val="none"/>
          <w:vertAlign w:val="baseline"/>
        </w:rPr>
        <w:t>NetCoalition I,</w:t>
      </w:r>
      <w:r>
        <w:rPr>
          <w:rFonts w:ascii="arial" w:eastAsia="arial" w:hAnsi="arial" w:cs="arial"/>
          <w:b w:val="0"/>
          <w:i w:val="0"/>
          <w:strike w:val="0"/>
          <w:noProof w:val="0"/>
          <w:color w:val="000000"/>
          <w:position w:val="0"/>
          <w:sz w:val="20"/>
          <w:u w:val="none"/>
          <w:vertAlign w:val="baseline"/>
        </w:rPr>
        <w:t xml:space="preserve"> while upholding the Commission's conclusion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may be relied upon to establish the fairness of prices, nevertheless concluded that the record </w:t>
      </w:r>
      <w:r>
        <w:rPr>
          <w:rFonts w:ascii="arial" w:eastAsia="arial" w:hAnsi="arial" w:cs="arial"/>
          <w:b w:val="0"/>
          <w:i/>
          <w:strike w:val="0"/>
          <w:noProof w:val="0"/>
          <w:color w:val="000000"/>
          <w:position w:val="0"/>
          <w:sz w:val="20"/>
          <w:u w:val="none"/>
          <w:vertAlign w:val="baseline"/>
        </w:rPr>
        <w:t>in that case</w:t>
      </w:r>
      <w:r>
        <w:rPr>
          <w:rFonts w:ascii="arial" w:eastAsia="arial" w:hAnsi="arial" w:cs="arial"/>
          <w:b w:val="0"/>
          <w:i w:val="0"/>
          <w:strike w:val="0"/>
          <w:noProof w:val="0"/>
          <w:color w:val="000000"/>
          <w:position w:val="0"/>
          <w:sz w:val="20"/>
          <w:u w:val="none"/>
          <w:vertAlign w:val="baseline"/>
        </w:rPr>
        <w:t xml:space="preserve"> did not adequately support the Commission's conclusions as to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nature of the market for NYSE Arca's data product at issue in that case. As explained below in Phlx's Statement on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however, Phlx believes that there is substantial evidence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marketplace for data that was not in the record in the </w:t>
      </w:r>
      <w:r>
        <w:rPr>
          <w:rFonts w:ascii="arial" w:eastAsia="arial" w:hAnsi="arial" w:cs="arial"/>
          <w:b w:val="0"/>
          <w:i/>
          <w:strike w:val="0"/>
          <w:noProof w:val="0"/>
          <w:color w:val="000000"/>
          <w:position w:val="0"/>
          <w:sz w:val="20"/>
          <w:u w:val="none"/>
          <w:vertAlign w:val="baseline"/>
        </w:rPr>
        <w:t>NetCoalition I</w:t>
      </w:r>
      <w:r>
        <w:rPr>
          <w:rFonts w:ascii="arial" w:eastAsia="arial" w:hAnsi="arial" w:cs="arial"/>
          <w:b w:val="0"/>
          <w:i w:val="0"/>
          <w:strike w:val="0"/>
          <w:noProof w:val="0"/>
          <w:color w:val="000000"/>
          <w:position w:val="0"/>
          <w:sz w:val="20"/>
          <w:u w:val="none"/>
          <w:vertAlign w:val="baseline"/>
        </w:rPr>
        <w:t xml:space="preserve"> case, and that the Commission is entitled to rely upon such evidence in concluding fees are the product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therefore in accordance with the relevant statutory standards. n7 Accordingly, any findings of the court with respect to that product may not be relevant to the product at issue in this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It should also be noted that Section 916 of the Dodd-Frank Wall Street Reform and Consumer Protection Act of 2010 ("Dodd-Frank Act") has amended paragraph (A) of Section 19(b)(3) of the Act, </w:t>
      </w:r>
      <w:hyperlink r:id="rId8" w:history="1">
        <w:r>
          <w:rPr>
            <w:rFonts w:ascii="arial" w:eastAsia="arial" w:hAnsi="arial" w:cs="arial"/>
            <w:b w:val="0"/>
            <w:i/>
            <w:strike w:val="0"/>
            <w:noProof w:val="0"/>
            <w:color w:val="0077CC"/>
            <w:position w:val="0"/>
            <w:sz w:val="20"/>
            <w:u w:val="single"/>
            <w:vertAlign w:val="baseline"/>
          </w:rPr>
          <w:t>15 U.S.C. 78s(b)(3)</w:t>
        </w:r>
      </w:hyperlink>
      <w:r>
        <w:rPr>
          <w:rFonts w:ascii="arial" w:eastAsia="arial" w:hAnsi="arial" w:cs="arial"/>
          <w:b w:val="0"/>
          <w:i w:val="0"/>
          <w:strike w:val="0"/>
          <w:noProof w:val="0"/>
          <w:color w:val="000000"/>
          <w:position w:val="0"/>
          <w:sz w:val="20"/>
          <w:u w:val="none"/>
          <w:vertAlign w:val="baseline"/>
        </w:rPr>
        <w:t xml:space="preserve">, to make it clear that all exchange fees, including fees for market data, may be filed by exchanges on an immediately effective basis.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NetCoalition v. SEC, 715 F.3d 342 (D.C. Cir. 2013)</w:t>
        </w:r>
      </w:hyperlink>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NetCoalition II"</w:t>
      </w:r>
      <w:r>
        <w:rPr>
          <w:rFonts w:ascii="arial" w:eastAsia="arial" w:hAnsi="arial" w:cs="arial"/>
          <w:b w:val="0"/>
          <w:i w:val="0"/>
          <w:strike w:val="0"/>
          <w:noProof w:val="0"/>
          <w:color w:val="000000"/>
          <w:position w:val="0"/>
          <w:sz w:val="20"/>
          <w:u w:val="none"/>
          <w:vertAlign w:val="baseline"/>
        </w:rPr>
        <w:t>) (finding no jurisdiction to review Commission's non-suspension of immediately effective fee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Phlx believes that the allocation of the proposed fee is fair and equitable in accordance with Section 6(b)(4) of the Act, and not unreasonably discriminatory in accordance with Section 6(b)(5) of the Act. As described above, the proposed fee is based on pricing conventions and distinctions that exist in Phlx's current fee schedule. These distinctions are each based on principles of fairness and equity that have helped for many years to maintain fair, equitable, and not unreasonably discriminatory fees, and that apply with equal or greater force to the current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greater detail below, if Phlx has calculated improperly and the market deems the proposed fees to be unfair, inequitable, or unreasonably discriminatory, firms can discontinue the use of their data because the proposed product is entirely optional to all parties. Firms are not required to purchase data and Phlx is not required to make data available or to offer specific pricing alternatives for potential purchases. Phlx can discontinue offering a pricing alternative (as it has in the past) and firms can discontinue their use at any time and for any reason (as they often do), including due to their assessment of the reasonableness of fees charged. Phlx continues to establish and revise pricing policies aimed at increasing fairness and equitable allocation of fees among Subscribers.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Phlx believes that periodically it must adjust the Subscriber fees to reflect market forces. Phlx believes it is an appropriate time to adjust this fee to more accurately reflect the investments made to enhance this product through capacity upgrades. This also reflects that the market for this information is highly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continually evolves as products develop and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does not believe that the proposed rule change will result in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in furtherance of the purposes of the Act, as amended. Notwithstanding its determination that the Commission may rely upon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establish fair and equitably allocated fees for market data, the </w:t>
      </w:r>
      <w:r>
        <w:rPr>
          <w:rFonts w:ascii="arial" w:eastAsia="arial" w:hAnsi="arial" w:cs="arial"/>
          <w:b w:val="0"/>
          <w:i/>
          <w:strike w:val="0"/>
          <w:noProof w:val="0"/>
          <w:color w:val="000000"/>
          <w:position w:val="0"/>
          <w:sz w:val="20"/>
          <w:u w:val="none"/>
          <w:vertAlign w:val="baseline"/>
        </w:rPr>
        <w:t>NetCoalition</w:t>
      </w:r>
      <w:r>
        <w:rPr>
          <w:rFonts w:ascii="arial" w:eastAsia="arial" w:hAnsi="arial" w:cs="arial"/>
          <w:b w:val="0"/>
          <w:i w:val="0"/>
          <w:strike w:val="0"/>
          <w:noProof w:val="0"/>
          <w:color w:val="000000"/>
          <w:position w:val="0"/>
          <w:sz w:val="20"/>
          <w:u w:val="none"/>
          <w:vertAlign w:val="baseline"/>
        </w:rPr>
        <w:t xml:space="preserve"> court found that the Commission had not, in that case, compiled a record that adequately supported its conclusion that the market for the data at issue in the case was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Phlx believes that a record may readily be established to demonstrate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nature of the market in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intense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trading platforms that provide transaction execution and routing services and proprietary data products. Transaction execution and proprietary data products are complementary in that market data is both an input and a byproduct of the execution service. In fact, market data and trade execution are a paradigmatic example of joint products with joint costs. Data products are valuable to many end Subscribers only insofar as they provide information that end Subscribers expect will assist them or their customers in making trading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costs of producing market data include not only the costs of the data distribution infrastructure, but also the costs of designing, maintaining, and operating the exchange's transaction execution platform and the cost of regulating the exchange to ensure its fair operation and maintain investor confidence. The total return that a trading platform earns reflects the revenues it receives from both products and the joint costs it incurs. Moreover, an exchange's customers view the costs of transaction executions and of data as a unified cost of doing business with the exchange. A broker-dealer ("BD") will direct orders to a particular exchange only if the expected revenues from executing trades on the exchange exceed net transaction execution costs and the </w:t>
      </w:r>
      <w:r>
        <w:rPr>
          <w:rFonts w:ascii="arial" w:eastAsia="arial" w:hAnsi="arial" w:cs="arial"/>
          <w:b/>
          <w:i w:val="0"/>
          <w:strike w:val="0"/>
          <w:noProof w:val="0"/>
          <w:color w:val="000000"/>
          <w:position w:val="0"/>
          <w:sz w:val="20"/>
          <w:u w:val="none"/>
          <w:vertAlign w:val="baseline"/>
        </w:rPr>
        <w:t> [*553] </w:t>
      </w:r>
      <w:r>
        <w:rPr>
          <w:rFonts w:ascii="arial" w:eastAsia="arial" w:hAnsi="arial" w:cs="arial"/>
          <w:b w:val="0"/>
          <w:i w:val="0"/>
          <w:strike w:val="0"/>
          <w:noProof w:val="0"/>
          <w:color w:val="000000"/>
          <w:position w:val="0"/>
          <w:sz w:val="20"/>
          <w:u w:val="none"/>
          <w:vertAlign w:val="baseline"/>
        </w:rPr>
        <w:t xml:space="preserve"> cost of data that the BD chooses to buy to support its trading decisions (or those of its customers). The choice of data products is, in turn, a product of the value of the products in making profitable trading decisions. If the cost of the product exceeds its expected value, the BD will choose not to buy it. Moreover, as a BD chooses to direct fewer orders to a particular exchange, the value of the product to that BD decreases, for two reasons. First, the product will contain less information, because executions of the BD's orders will not be reflected in it. Second, and perhaps more important, the product will be less valuable to that BD because it does not provide information about the venue to which it is directing its orders. Data from the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venue to which the BD is directing orders will become correspondingly more valuable.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an increase in the fees charged for either transactions or data has the potential to impair revenues from both products. "No one disputes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is fierce'." </w:t>
      </w:r>
      <w:r>
        <w:rPr>
          <w:rFonts w:ascii="arial" w:eastAsia="arial" w:hAnsi="arial" w:cs="arial"/>
          <w:b w:val="0"/>
          <w:i/>
          <w:strike w:val="0"/>
          <w:noProof w:val="0"/>
          <w:color w:val="000000"/>
          <w:position w:val="0"/>
          <w:sz w:val="20"/>
          <w:u w:val="none"/>
          <w:vertAlign w:val="baseline"/>
        </w:rPr>
        <w:t>NetCoalition</w:t>
      </w:r>
      <w:r>
        <w:rPr>
          <w:rFonts w:ascii="arial" w:eastAsia="arial" w:hAnsi="arial" w:cs="arial"/>
          <w:b w:val="0"/>
          <w:i w:val="0"/>
          <w:strike w:val="0"/>
          <w:noProof w:val="0"/>
          <w:color w:val="000000"/>
          <w:position w:val="0"/>
          <w:sz w:val="20"/>
          <w:u w:val="none"/>
          <w:vertAlign w:val="baseline"/>
        </w:rPr>
        <w:t xml:space="preserve"> at 24. However, the existence of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implies a high degree of price sensitivity on the part of BDs with order flow, since they may readily reduce costs by directing orders toward the lowest-cost trading venues. A BD that shifted its order flow from one platform to another in response to order execution price differentials would both reduce the value of that platform's market data and reduce its own need to consume data from the disfavored platform. Similarly, if a platform increases its market data fees, the change will affect the overall cost of doing business with the platform, and affected BDs will assess whether they can lower their trading costs by directing orders elsewhere and thereby lessening the need for the more expensive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Analyzing the cost of market data distribution in isolation from the cost of all of the inputs supporting the creation of market data will inevitably underestimate the cost of the data. Thus, because it is impossible to create data without a fast, technologically robust, and well-regulated execution system, system costs and regulatory costs affect the price of market data. It would be equally misleading, however, to attribute all of the exchange's costs to the market data portion of an exchange's joint product. Rather, all of the exchange's costs are incurred for the unified purposes of attracting order flow, executing and/or routing orders, and generating and selling data about market activity. The total return that an exchange earns reflects the revenues it receives from the joint products and the total costs of the joint products.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trading platforms can be expected to constrain the aggregate return each platform earns from the sale of its joint products, but different platforms may choose from a range of possible, and equally reasonable, pricing strategies as the means of recovering total costs. Phlx pays rebates to attract orders, charges relatively low prices for market information and charges relatively high prices for accessing posted liquidity. Other platforms may choose a strategy of paying lower liquidity rebates to attract orders, setting relatively low prices for accessing posted liquidity, and setting relatively high prices for market information. Still others may provide most data free of charge and rely exclusively on transaction fees to recover their costs. Finally, some platforms may incentivize use by providing opportunities for equity ownership, which may allow them to charge lower direct fees for executions and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environment, there is no economic basis for regulating maximum prices for one of the joint products in an industry in which suppliers face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constraints with regard to the joint offering. Such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unnecessary because an "excessive" price for one of the joint products will ultimately have to be reflected in lower prices for other products sold by the firm, or otherwise the firm will experience a loss in the volume of its sales that will be adverse to its overall profitability. In other words, an increase in the price of data will ultimately have to be accompanied by a decrease in the cost of executions, or the volume of both data and executions will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level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contestability in the market is evident in the numerous alternative venues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including eleven SRO markets, as well as internalizing BDs and various forms of alternative trading systems ("ATSs"), including dark pools and electronic communication networks ("ECNs"). Each SRO market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to produce transaction reports via trade executions, and two FINRA-regulated TRFs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internalized transaction reports. It is common for BDs to further and exploit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sending their order flow and transaction reports to multiple markets, rather than providing them all to a single market.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for order flow, executions, and transaction reports provide pricing discipline for the inputs of proprietary data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large number of SROs, TRFs, BDs, and ATSs that currently produce proprietary data or are currently capable of producing it provides further pricing discipline for proprietary data products. Each SRO, TRF, ATS, and BD is currently permitted to produce proprietary data products, and many currently do or have announced plans to do so, including Phlx, NYSE, NYSE MKT, NYSE Arca, and BATS/Direct 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ATS or BD can combine with any other ATS, BD, or multiple ATSs or BDs to produce joint proprietary data products. Additionally, order routers and market data vendors can facilitate single or multiple BDs' production of proprietary data products. The potential sources of proprietary products are virtually limitless. Notably, the potential sources of data include the BDs that submit trade reports to TRFs and that have the ability to consolidate and distribute their data without the involvement of FINRA or an exchange-operated TRF.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fact that proprietary data from ATSs, BDs, and vendors can by-pass SROs is significant in two respects. First, non-SROs can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directly with SROs for the production and sale of proprietary data products, as BATS and NYSE Arca did before registering as exchanges by publishing proprietary book data on the internet. Second, because a single order or transaction report can appear in a core data product, an SRO proprietary product, and/or a non-SRO proprietary product, the data available in proprietary products is exponentially greater than the actual number of orders and transaction reports that exist in the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price discipline described above, the market for proprietary data products is also highly contestable because market entry is rapid, inexpensive, and profitable. The history of electronic trading is replete with examples of entrants that swiftly grew into some of the largest electronic trading platforms and proprietary data producers: Archipelago, Bloomberg Tradebook, Island, RediBook, Attain, TracECN, BATS Trading and BATS/Direct Edge. A proliferation of dark pools and other ATSs operate profitably with fragmentary shares of consolidated market volume.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by deregulating the market for proprietary data, has increased the contestability of that market. While BDs have previously published their proprietary data individually,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encourages market data vendors and BDs to produce proprietary products </w:t>
      </w:r>
      <w:r>
        <w:rPr>
          <w:rFonts w:ascii="arial" w:eastAsia="arial" w:hAnsi="arial" w:cs="arial"/>
          <w:b/>
          <w:i w:val="0"/>
          <w:strike w:val="0"/>
          <w:noProof w:val="0"/>
          <w:color w:val="000000"/>
          <w:position w:val="0"/>
          <w:sz w:val="20"/>
          <w:u w:val="none"/>
          <w:vertAlign w:val="baseline"/>
        </w:rPr>
        <w:t> [*554] </w:t>
      </w:r>
      <w:r>
        <w:rPr>
          <w:rFonts w:ascii="arial" w:eastAsia="arial" w:hAnsi="arial" w:cs="arial"/>
          <w:b w:val="0"/>
          <w:i w:val="0"/>
          <w:strike w:val="0"/>
          <w:noProof w:val="0"/>
          <w:color w:val="000000"/>
          <w:position w:val="0"/>
          <w:sz w:val="20"/>
          <w:u w:val="none"/>
          <w:vertAlign w:val="baseline"/>
        </w:rPr>
        <w:t xml:space="preserve"> cooperatively in a manner never before possible. Multiple market data vendors already have the capability to aggregate data and disseminate it on a profitable scale, including Bloomberg and Thomson Reuters. In Europe, Cinnober aggregates and disseminates data from over 40 brokers and multilateral trading facilities. n8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 xml:space="preserve">See </w:t>
      </w:r>
      <w:hyperlink r:id="rId14" w:history="1">
        <w:r>
          <w:rPr>
            <w:rFonts w:ascii="arial" w:eastAsia="arial" w:hAnsi="arial" w:cs="arial"/>
            <w:b w:val="0"/>
            <w:i/>
            <w:strike w:val="0"/>
            <w:noProof w:val="0"/>
            <w:color w:val="0077CC"/>
            <w:position w:val="0"/>
            <w:sz w:val="20"/>
            <w:u w:val="single"/>
            <w:vertAlign w:val="baseline"/>
          </w:rPr>
          <w:t>http://www.cinnober.com/boat-trade-reporting</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environment, a super-</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increase in the fees charged for either transactions or data has the potential to impair revenues from both products. "No one disputes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is fierce'." </w:t>
      </w:r>
      <w:r>
        <w:rPr>
          <w:rFonts w:ascii="arial" w:eastAsia="arial" w:hAnsi="arial" w:cs="arial"/>
          <w:b w:val="0"/>
          <w:i/>
          <w:strike w:val="0"/>
          <w:noProof w:val="0"/>
          <w:color w:val="000000"/>
          <w:position w:val="0"/>
          <w:sz w:val="20"/>
          <w:u w:val="none"/>
          <w:vertAlign w:val="baseline"/>
        </w:rPr>
        <w:t>NetCoalition I</w:t>
      </w:r>
      <w:r>
        <w:rPr>
          <w:rFonts w:ascii="arial" w:eastAsia="arial" w:hAnsi="arial" w:cs="arial"/>
          <w:b w:val="0"/>
          <w:i w:val="0"/>
          <w:strike w:val="0"/>
          <w:noProof w:val="0"/>
          <w:color w:val="000000"/>
          <w:position w:val="0"/>
          <w:sz w:val="20"/>
          <w:u w:val="none"/>
          <w:vertAlign w:val="baseline"/>
        </w:rPr>
        <w:t xml:space="preserve"> at 539. The existence of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implies a high degree of price sensitivity on the part of BDs with order flow, since they may readily reduce costs by directing orders toward the lowest-cost trading venues. A BD that shifted its order flow from one platform to another in response to order execution price differentials would both reduce the value of that platform's market data and reduce its own need to consume data from the disfavored platform. If a platform increases its market data fees, the change will affect the overall cost of doing business with the platform, and affected BDs will assess whether they can lower their trading costs by directing orders elsewhere and thereby lessening the need for the more expensive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Written comments were neither solicited nor received.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Date of Effectiveness of the Proposed Rule Change and Timing for Commission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foregoing rule change has become effective pursuant to Section 19(b)(3)(A)(ii) of the Act. n9 At any time within 60 days of the filing of the proposed rule change, the Commission summarily may temporarily suspend such rule change if it appears to the Commission that such action is necessary or appropriate in the public interest, for the protection of investors, or otherwise in furtherance of the purposes of the Act. If the Commission takes such action, the Commission shall institute proceedings to determine whether the proposed rule should be approved or disapproved.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hyperlink r:id="rId8" w:history="1">
        <w:r>
          <w:rPr>
            <w:rFonts w:ascii="arial" w:eastAsia="arial" w:hAnsi="arial" w:cs="arial"/>
            <w:b w:val="0"/>
            <w:i/>
            <w:strike w:val="0"/>
            <w:noProof w:val="0"/>
            <w:color w:val="0077CC"/>
            <w:position w:val="0"/>
            <w:sz w:val="20"/>
            <w:u w:val="single"/>
            <w:vertAlign w:val="baseline"/>
          </w:rPr>
          <w:t>15 U.S.C. 78s(b)(3)(a)(ii)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the proposed rule change, as amended, is consistent with the Act.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15"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16"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val="0"/>
          <w:strike w:val="0"/>
          <w:noProof w:val="0"/>
          <w:color w:val="000000"/>
          <w:position w:val="0"/>
          <w:sz w:val="20"/>
          <w:u w:val="none"/>
          <w:vertAlign w:val="baseline"/>
        </w:rPr>
        <w:t>. Please include File Number SR-Phlx-2015-112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SR-Phlx-2015-112. This file number should be included on the subject line if email is used. To help the Commission process and review your comments more efficiently, please use only one method. The Commission will post all comments on the Commission's Internet Web site (</w:t>
      </w:r>
      <w:hyperlink r:id="rId15"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will be available for Web site viewing and printing in the Commission's Public Reference Room on official business days between the hours of 10:00 a.m. and 3:00 p.m. Copies of such filing also will be available for inspection and copying at the principal offices of the Exchange. All comments received will be posted without change; the Commission does not edit personal identifying information from submissions. You should submit only information that you wish to make available publicly. All submissions should refer to File Number SR-Phlx-2015-112, and should be submitted on or before January 27,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 n10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hyperlink r:id="rId17"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Jill M. Peterson,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2015-33206 Filed 1-5-16;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551</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PC1-NRF4-4309-00000-00&amp;context=" TargetMode="External" /><Relationship Id="rId11" Type="http://schemas.openxmlformats.org/officeDocument/2006/relationships/hyperlink" Target="https://advance.lexis.com/api/document?collection=administrative-codes&amp;id=urn:contentItem:4GH9-4PB0-014W-D1VJ-00000-00&amp;context=" TargetMode="External" /><Relationship Id="rId12" Type="http://schemas.openxmlformats.org/officeDocument/2006/relationships/hyperlink" Target="https://advance.lexis.com/api/document?collection=cases&amp;id=urn:contentItem:803V-DT30-YB0V-T01B-00000-00&amp;context=" TargetMode="External" /><Relationship Id="rId13" Type="http://schemas.openxmlformats.org/officeDocument/2006/relationships/hyperlink" Target="https://advance.lexis.com/api/document?collection=cases&amp;id=urn:contentItem:589M-GYC1-F04K-Y02R-00000-00&amp;context=" TargetMode="External" /><Relationship Id="rId14" Type="http://schemas.openxmlformats.org/officeDocument/2006/relationships/hyperlink" Target="http://www.cinnober.com/boat-trade-reporting" TargetMode="External" /><Relationship Id="rId15" Type="http://schemas.openxmlformats.org/officeDocument/2006/relationships/hyperlink" Target="http://www.sec.gov/rules/sro.shtml" TargetMode="External" /><Relationship Id="rId16" Type="http://schemas.openxmlformats.org/officeDocument/2006/relationships/hyperlink" Target="mailto:rule-comments@sec.gov" TargetMode="External" /><Relationship Id="rId17" Type="http://schemas.openxmlformats.org/officeDocument/2006/relationships/hyperlink" Target="https://advance.lexis.com/api/document?collection=administrative-codes&amp;id=urn:contentItem:5SPP-2120-008G-Y2ND-00000-00&amp;context=" TargetMode="Externa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HST-K5J0-006W-82Y6-00000-00&amp;context=" TargetMode="External" /><Relationship Id="rId8" Type="http://schemas.openxmlformats.org/officeDocument/2006/relationships/hyperlink" Target="https://advance.lexis.com/api/document?collection=statutes-legislation&amp;id=urn:contentItem:4YF7-GTY1-NRF4-41M9-00000-00&amp;context=" TargetMode="External" /><Relationship Id="rId9" Type="http://schemas.openxmlformats.org/officeDocument/2006/relationships/hyperlink" Target="https://advance.lexis.com/api/document?collection=administrative-codes&amp;id=urn:contentItem:5NBM-FN20-008G-Y15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66454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71564255</vt:lpwstr>
  </property>
  <property fmtid="{D5CDD505-2E9C-101B-9397-08002B2CF9AE}" pid="3" name="LADocCount">
    <vt:lpwstr>1</vt:lpwstr>
  </property>
  <property fmtid="{D5CDD505-2E9C-101B-9397-08002B2CF9AE}" pid="4" name="UserPermID">
    <vt:lpwstr>urn:user:PA185916758</vt:lpwstr>
  </property>
</Properties>
</file>