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55251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160, Thursday, August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55251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BOX Options Exchange LLC; Notice of Filing and Immediate Effectiveness of a Proposed Rule Change To Amend Its Fee Schedule To Adopt a New Fee in Section V (Technology Fees) of the BOX Fee Schedule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34-78565; File No. SR-BOX-2016-40]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August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August 3, 2016, BOX Options Exchange LLC (the "Exchange") filed with the Securities and Exchange Commission ("Commission") the proposed rule change as described in Items I, II, and III below, which Items have been prepared by the Exchange. The Exchange filed the proposed rule change pursuant to Section 19(b)(3)(A)(ii) of the Act, n3 and Rule 19b-4(f)(2) thereunder, n4 which renders the proposal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with the Securities and Exchange Commission ("Commission") a proposed rule change to amend the Fee Schedule to adopt a new fee in Section V (Technology Fees) of the BOX Fee Schedule on the BOX Market LLC ("BOX") options facility. The text of the proposed rule change is available from the principal office of the Exchange, at the Commission's Public Reference Room and also on the Exchange's Internet Web site at </w:t>
      </w:r>
      <w:hyperlink r:id="rId10" w:history="1">
        <w:r>
          <w:rPr>
            <w:rFonts w:ascii="arial" w:eastAsia="arial" w:hAnsi="arial" w:cs="arial"/>
            <w:b w:val="0"/>
            <w:i/>
            <w:strike w:val="0"/>
            <w:noProof w:val="0"/>
            <w:color w:val="0077CC"/>
            <w:position w:val="0"/>
            <w:sz w:val="20"/>
            <w:u w:val="single"/>
            <w:vertAlign w:val="baseline"/>
          </w:rPr>
          <w:t>http://boxexchange.com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Section V (Technology Fees) in the Fee Schedule. Specifically, the Exchange proposes to establish Section V.B. (High Speed Vendor Feed ("HSVF") in the BOX Fee Schedule and adopt a fee of $ 750.00 per month for all market participants for receiving the HSVF. This fee will be payable by any market participant that receives the HSVF through a direct connection to BOX and will be assessed once per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2013, the Exchange made its proprietary direct market data product, the HSVF, available to all market participants at no cost. n5 The BOX HSVF is a proprietary product that provides: (i) Trades and trade cancelation information; (ii) best-ranked price level to buy and the best-ranked price level to sell; (iii) instrument summaries (including information such as high, low, and last trade price and traded volume); (iv) the five best limit prices for each option instrument; (v) request for Quote messages; n6 (vi) PIP Order, Improvement Order and Block Trade Order (Facilitation and Solicitation) information; n7 (vii) orders exposed at NBBO; n8 (viii) instrument dictionary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strike price, expiration date, underlying symbol, price threshold, and minimum trading increment for instruments traded on BOX); (ix) options class and instrument status change notices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whether an instrument or class is in pre-opening, continuous trading, closed, halted, or prohibited from trading); and (x) options class opening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68833 (February 5, 2013), </w:t>
      </w:r>
      <w:hyperlink r:id="rId11" w:history="1">
        <w:r>
          <w:rPr>
            <w:rFonts w:ascii="arial" w:eastAsia="arial" w:hAnsi="arial" w:cs="arial"/>
            <w:b w:val="0"/>
            <w:i/>
            <w:strike w:val="0"/>
            <w:noProof w:val="0"/>
            <w:color w:val="0077CC"/>
            <w:position w:val="0"/>
            <w:sz w:val="20"/>
            <w:u w:val="single"/>
            <w:vertAlign w:val="baseline"/>
          </w:rPr>
          <w:t>78 FR 9758</w:t>
        </w:r>
      </w:hyperlink>
      <w:r>
        <w:rPr>
          <w:rFonts w:ascii="arial" w:eastAsia="arial" w:hAnsi="arial" w:cs="arial"/>
          <w:b w:val="0"/>
          <w:i w:val="0"/>
          <w:strike w:val="0"/>
          <w:noProof w:val="0"/>
          <w:color w:val="000000"/>
          <w:position w:val="0"/>
          <w:sz w:val="20"/>
          <w:u w:val="none"/>
          <w:vertAlign w:val="baseline"/>
        </w:rPr>
        <w:t xml:space="preserve"> (February 11, 2013) (SR-BOX-2013-04).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Rules 100(a)(57), 7070(h) and 8050.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As set forth in Exchange Rules 7150 and 7270,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As set forth in Exchange Rules 7130(b)(3) and 8040(d)(6),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data connection fees are charged by other options markets such as International Securities Exchange ("ISE"), Bats BZX Exchange ("BATS"), Chicago Board Options Exchange ("CBOE"), The NASDAQ Options Market ("NOM"), Miami International Securities Exchange LLC ("MIAX"), NASDAQ BX, Inc. ("BX"), and NASDAQ PHLX LLC ("Phlx").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ISE Fee Schedule, available at: </w:t>
      </w:r>
      <w:hyperlink r:id="rId12" w:history="1">
        <w:r>
          <w:rPr>
            <w:rFonts w:ascii="arial" w:eastAsia="arial" w:hAnsi="arial" w:cs="arial"/>
            <w:b w:val="0"/>
            <w:i/>
            <w:strike w:val="0"/>
            <w:noProof w:val="0"/>
            <w:color w:val="0077CC"/>
            <w:position w:val="0"/>
            <w:sz w:val="20"/>
            <w:u w:val="single"/>
            <w:vertAlign w:val="baseline"/>
          </w:rPr>
          <w:t>https://www.ise.com/assets/documents/OptionsExchange/legal/fee/ISE_fee_schedule.pdf</w:t>
        </w:r>
      </w:hyperlink>
      <w:r>
        <w:rPr>
          <w:rFonts w:ascii="arial" w:eastAsia="arial" w:hAnsi="arial" w:cs="arial"/>
          <w:b w:val="0"/>
          <w:i w:val="0"/>
          <w:strike w:val="0"/>
          <w:noProof w:val="0"/>
          <w:color w:val="000000"/>
          <w:position w:val="0"/>
          <w:sz w:val="20"/>
          <w:u w:val="none"/>
          <w:vertAlign w:val="baseline"/>
        </w:rPr>
        <w:t xml:space="preserve">, the BATS Fee Schedule, available at: </w:t>
      </w:r>
      <w:hyperlink r:id="rId13" w:history="1">
        <w:r>
          <w:rPr>
            <w:rFonts w:ascii="arial" w:eastAsia="arial" w:hAnsi="arial" w:cs="arial"/>
            <w:b w:val="0"/>
            <w:i/>
            <w:strike w:val="0"/>
            <w:noProof w:val="0"/>
            <w:color w:val="0077CC"/>
            <w:position w:val="0"/>
            <w:sz w:val="20"/>
            <w:u w:val="single"/>
            <w:vertAlign w:val="baseline"/>
          </w:rPr>
          <w:t>https://batstrading.com/support/fee_schedule/bzx/</w:t>
        </w:r>
      </w:hyperlink>
      <w:r>
        <w:rPr>
          <w:rFonts w:ascii="arial" w:eastAsia="arial" w:hAnsi="arial" w:cs="arial"/>
          <w:b w:val="0"/>
          <w:i w:val="0"/>
          <w:strike w:val="0"/>
          <w:noProof w:val="0"/>
          <w:color w:val="000000"/>
          <w:position w:val="0"/>
          <w:sz w:val="20"/>
          <w:u w:val="none"/>
          <w:vertAlign w:val="baseline"/>
        </w:rPr>
        <w:t xml:space="preserve">, the CBOE Fee Schedule, available at </w:t>
      </w:r>
      <w:hyperlink r:id="rId14" w:history="1">
        <w:r>
          <w:rPr>
            <w:rFonts w:ascii="arial" w:eastAsia="arial" w:hAnsi="arial" w:cs="arial"/>
            <w:b w:val="0"/>
            <w:i/>
            <w:strike w:val="0"/>
            <w:noProof w:val="0"/>
            <w:color w:val="0077CC"/>
            <w:position w:val="0"/>
            <w:sz w:val="20"/>
            <w:u w:val="single"/>
            <w:vertAlign w:val="baseline"/>
          </w:rPr>
          <w:t>https://www.cboe.org/framed/pdfframed.aspx?content=/publish/mdxfees/mdxfeescheduleforcboedatafeeds.pdf&amp;section=SEC_MDX_CSM&amp;title=CBOE</w:t>
        </w:r>
      </w:hyperlink>
      <w:r>
        <w:rPr>
          <w:rFonts w:ascii="arial" w:eastAsia="arial" w:hAnsi="arial" w:cs="arial"/>
          <w:b w:val="0"/>
          <w:i/>
          <w:strike w:val="0"/>
          <w:noProof w:val="0"/>
          <w:color w:val="000000"/>
          <w:position w:val="0"/>
          <w:sz w:val="20"/>
          <w:u w:val="none"/>
          <w:vertAlign w:val="baseline"/>
        </w:rPr>
        <w:t xml:space="preserve"> MDX Fees Schedule</w:t>
      </w:r>
      <w:r>
        <w:rPr>
          <w:rFonts w:ascii="arial" w:eastAsia="arial" w:hAnsi="arial" w:cs="arial"/>
          <w:b w:val="0"/>
          <w:i w:val="0"/>
          <w:strike w:val="0"/>
          <w:noProof w:val="0"/>
          <w:color w:val="000000"/>
          <w:position w:val="0"/>
          <w:sz w:val="20"/>
          <w:u w:val="none"/>
          <w:vertAlign w:val="baseline"/>
        </w:rPr>
        <w:t xml:space="preserve">; the NOM Fee Schedule, available at </w:t>
      </w:r>
      <w:hyperlink r:id="rId15" w:history="1">
        <w:r>
          <w:rPr>
            <w:rFonts w:ascii="arial" w:eastAsia="arial" w:hAnsi="arial" w:cs="arial"/>
            <w:b w:val="0"/>
            <w:i/>
            <w:strike w:val="0"/>
            <w:noProof w:val="0"/>
            <w:color w:val="0077CC"/>
            <w:position w:val="0"/>
            <w:sz w:val="20"/>
            <w:u w:val="single"/>
            <w:vertAlign w:val="baseline"/>
          </w:rPr>
          <w:t>http://www.nasdaqtrader.com/Micro.aspx?id=optionsPricing</w:t>
        </w:r>
      </w:hyperlink>
      <w:r>
        <w:rPr>
          <w:rFonts w:ascii="arial" w:eastAsia="arial" w:hAnsi="arial" w:cs="arial"/>
          <w:b w:val="0"/>
          <w:i w:val="0"/>
          <w:strike w:val="0"/>
          <w:noProof w:val="0"/>
          <w:color w:val="000000"/>
          <w:position w:val="0"/>
          <w:sz w:val="20"/>
          <w:u w:val="none"/>
          <w:vertAlign w:val="baseline"/>
        </w:rPr>
        <w:t xml:space="preserve">, the MIAX Fee Schedule, available at: </w:t>
      </w:r>
      <w:hyperlink r:id="rId16" w:history="1">
        <w:r>
          <w:rPr>
            <w:rFonts w:ascii="arial" w:eastAsia="arial" w:hAnsi="arial" w:cs="arial"/>
            <w:b w:val="0"/>
            <w:i/>
            <w:strike w:val="0"/>
            <w:noProof w:val="0"/>
            <w:color w:val="0077CC"/>
            <w:position w:val="0"/>
            <w:sz w:val="20"/>
            <w:u w:val="single"/>
            <w:vertAlign w:val="baseline"/>
          </w:rPr>
          <w:t>https://www.miaxoptions.com/content/fees</w:t>
        </w:r>
      </w:hyperlink>
      <w:r>
        <w:rPr>
          <w:rFonts w:ascii="arial" w:eastAsia="arial" w:hAnsi="arial" w:cs="arial"/>
          <w:b w:val="0"/>
          <w:i w:val="0"/>
          <w:strike w:val="0"/>
          <w:noProof w:val="0"/>
          <w:color w:val="000000"/>
          <w:position w:val="0"/>
          <w:sz w:val="20"/>
          <w:u w:val="none"/>
          <w:vertAlign w:val="baseline"/>
        </w:rPr>
        <w:t xml:space="preserve"> and the Phlx Fee Schedule, available at: </w:t>
      </w:r>
      <w:hyperlink r:id="rId17" w:history="1">
        <w:r>
          <w:rPr>
            <w:rFonts w:ascii="arial" w:eastAsia="arial" w:hAnsi="arial" w:cs="arial"/>
            <w:b w:val="0"/>
            <w:i/>
            <w:strike w:val="0"/>
            <w:noProof w:val="0"/>
            <w:color w:val="0077CC"/>
            <w:position w:val="0"/>
            <w:sz w:val="20"/>
            <w:u w:val="single"/>
            <w:vertAlign w:val="baseline"/>
          </w:rPr>
          <w:t>http://www.nasdaqtrader.com/Micro.aspx?id=phlxpricing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proposal is consistent with the requirements of Section 6(b) of the Act, n10 in general, and Section 6(b)(4) and (5) of the Act, n11 in particular, in that it provides for the equitable allocation of reasonable dues, fees, and other charges among BOX Participants and other persons using the Exchange's facilities and is not designed to permit unfair discrimination among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8"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8"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9"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 The HSVF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w:t>
      </w:r>
      <w:r>
        <w:rPr>
          <w:rFonts w:ascii="arial" w:eastAsia="arial" w:hAnsi="arial" w:cs="arial"/>
          <w:b/>
          <w:i w:val="0"/>
          <w:strike w:val="0"/>
          <w:noProof w:val="0"/>
          <w:color w:val="000000"/>
          <w:position w:val="0"/>
          <w:sz w:val="20"/>
          <w:u w:val="none"/>
          <w:vertAlign w:val="baseline"/>
        </w:rPr>
        <w:t> [*55252] </w:t>
      </w:r>
      <w:r>
        <w:rPr>
          <w:rFonts w:ascii="arial" w:eastAsia="arial" w:hAnsi="arial" w:cs="arial"/>
          <w:b w:val="0"/>
          <w:i w:val="0"/>
          <w:strike w:val="0"/>
          <w:noProof w:val="0"/>
          <w:color w:val="000000"/>
          <w:position w:val="0"/>
          <w:sz w:val="20"/>
          <w:u w:val="none"/>
          <w:vertAlign w:val="baseline"/>
        </w:rPr>
        <w:t xml:space="preserve"> Columbia Circuit in </w:t>
      </w:r>
      <w:hyperlink r:id="rId20"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("NetCoalition I"),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NetCoalition I, at 535 (quoting H.R. Rep. No. 94-229, at 92 (1975), as reprinted in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NetCoalition I,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NetCoalition I,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in that case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BOX's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BOX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NetCoalition I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in accordance with the relevant statutory standards. n14 Accordingly, any findings of the court with respect to that product may not be relevant to the product at issue in this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to make it clear that all exchange fees, including fees for market data, may be filed by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believes that the allocation of the proposed fee is fair and equitable in accordance with Section 6(b)(4) of the Act, and not unreasonably discriminatory in accordance with Section 6(b)(5) of the Act. As described above, the proposed fee is based on pricing conventions and distinctions that exist in BOX's current fee schedule. These distinctions are each based on principles of fairness and equity that have helped for many years to maintain fair, equitable, and not unreasonably discriminatory fees, and that apply with equal or greater force to the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if BOX has calculated improperly and the market deems the proposed fees to be unfair, inequitable, or unreasonably discriminatory, firms can discontinue the use of their data because the proposed product is entirely optional to all parties. Firms are not required to purchase data and BOX is not required to make data available or to offer specific pricing alternatives for potential purchases. BOX can discontinue offering a pricing alternative (as it has in the past) and firms can discontinue their use at any time and for any reason (as they often do), including due to their assessment of the reasonableness of fees charged. BOX continues to establish and revise pricing policies aimed at increasing fairness and equitable allocation of fees among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Exchange's proprietary HSVF is currently available to all market participants at no cost; however, the Exchange now proposes to adopt a new fee of $ 750.00 per month for all market participants who receive the HSVF. The Exchange believes that adopting such a fee is reasonable and appropriate as it is within the range that is charged by other options exchanges.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 CBOE's data distributor MDX charges a $ 500 port fee per month; NOM charges a port fee between $ 500 and $ 750 a month depending on the port. The Exchange notes the CBOE and NOM charge these fees per port, while the Exchange proposes to assess the fee once per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its fees are equitable and not unfairly discriminatory because all market participants are charged the same fee for access to the HSVF. Further, the Exchange notes that all market participants who wish to receive the feed may, as the feed is available to anyone willing to pay the proposed $ 750 monthly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proposed change to the Fee Schedule will simply allow the Exchange to charge all market participants equally for the costs incurred by connecting to the BOX Network. The HSVF is similar to proprietary data products currently offered by other exchanges, and these other exchanges charge comparable monthly fees. n16 While connection to the HSVF is required to receive the broadcasts for and participate in the Exchange's auction mechanisms, n17 the Exchange does not believes the proposed monthly fee will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these auctions. As discussed above, the Exchange believes that fees for connectivity are constrained by the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among exchanges and non-exchange markets. Further, excessive fees for connectivity would serve to impair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rather than burdening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such,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BOX's auction mechanisms include the Price Improvement Period ("PIP"), Complex Order Price Improvement Period ("COPIP"), Facilitation Auction and Solicitation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NetCoalition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BOX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Participant's view the </w:t>
      </w:r>
      <w:r>
        <w:rPr>
          <w:rFonts w:ascii="arial" w:eastAsia="arial" w:hAnsi="arial" w:cs="arial"/>
          <w:b/>
          <w:i w:val="0"/>
          <w:strike w:val="0"/>
          <w:noProof w:val="0"/>
          <w:color w:val="000000"/>
          <w:position w:val="0"/>
          <w:sz w:val="20"/>
          <w:u w:val="none"/>
          <w:vertAlign w:val="baseline"/>
        </w:rPr>
        <w:t> [*55253] </w:t>
      </w:r>
      <w:r>
        <w:rPr>
          <w:rFonts w:ascii="arial" w:eastAsia="arial" w:hAnsi="arial" w:cs="arial"/>
          <w:b w:val="0"/>
          <w:i w:val="0"/>
          <w:strike w:val="0"/>
          <w:noProof w:val="0"/>
          <w:color w:val="000000"/>
          <w:position w:val="0"/>
          <w:sz w:val="20"/>
          <w:u w:val="none"/>
          <w:vertAlign w:val="baseline"/>
        </w:rPr>
        <w:t xml:space="preserve"> costs of transaction executions and of data as a unified cost of doing business with the exchange. A broker-dealer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NetCoalition at 24.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Some exchanges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BOX,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w:t>
      </w:r>
      <w:r>
        <w:rPr>
          <w:rFonts w:ascii="arial" w:eastAsia="arial" w:hAnsi="arial" w:cs="arial"/>
          <w:b/>
          <w:i w:val="0"/>
          <w:strike w:val="0"/>
          <w:noProof w:val="0"/>
          <w:color w:val="000000"/>
          <w:position w:val="0"/>
          <w:sz w:val="20"/>
          <w:u w:val="none"/>
          <w:vertAlign w:val="baseline"/>
        </w:rPr>
        <w:t> [*55254] </w:t>
      </w:r>
      <w:r>
        <w:rPr>
          <w:rFonts w:ascii="arial" w:eastAsia="arial" w:hAnsi="arial" w:cs="arial"/>
          <w:b w:val="0"/>
          <w:i w:val="0"/>
          <w:strike w:val="0"/>
          <w:noProof w:val="0"/>
          <w:color w:val="000000"/>
          <w:position w:val="0"/>
          <w:sz w:val="20"/>
          <w:u w:val="none"/>
          <w:vertAlign w:val="baseline"/>
        </w:rPr>
        <w:t xml:space="preserve">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NetCoalition I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Exchange Act n19 and Rule 19b-4(f)(2) thereunder, n20 because it establishes or changes a due, or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the rule change if it appears to the Commission that the action is necessary or appropriate in the public interest, for the protection of investors, or would otherwise further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SR-BOX-2016-40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SR-BOX-2016-40. This file number should be included on the subject line if email is used. To help the Commission process and review your comments more efficiently, please use only one method. The Commission will post all comments on the Commission's Internet Web site (</w:t>
      </w:r>
      <w:hyperlink r:id="rId2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SR-BOX-2016-40, and should be submitted on or before September 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4"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authority.&lt;21&gt;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2016-19687 Filed 8-17-16;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55251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boxexchange.com" TargetMode="External" /><Relationship Id="rId11" Type="http://schemas.openxmlformats.org/officeDocument/2006/relationships/hyperlink" Target="https://advance.lexis.com/api/document?collection=administrative-codes&amp;id=urn:contentItem:57R0-0RK0-006W-82TX-00000-00&amp;context=" TargetMode="External" /><Relationship Id="rId12" Type="http://schemas.openxmlformats.org/officeDocument/2006/relationships/hyperlink" Target="https://www.ise.com/assets/documents/OptionsExchange/legal/fee/ISE_fee_schedule.pdf" TargetMode="External" /><Relationship Id="rId13" Type="http://schemas.openxmlformats.org/officeDocument/2006/relationships/hyperlink" Target="https://batstrading.com/support/fee_schedule/bzx/" TargetMode="External" /><Relationship Id="rId14" Type="http://schemas.openxmlformats.org/officeDocument/2006/relationships/hyperlink" Target="https://www.cboe.org/framed/pdfframed.aspx?content=/publish/mdxfees/mdxfeescheduleforcboedatafeeds.pdf&amp;section=SEC_MDX_CSM&amp;title=CBOE" TargetMode="External" /><Relationship Id="rId15" Type="http://schemas.openxmlformats.org/officeDocument/2006/relationships/hyperlink" Target="http://www.nasdaqtrader.com/Micro.aspx?id=optionsPricing" TargetMode="External" /><Relationship Id="rId16" Type="http://schemas.openxmlformats.org/officeDocument/2006/relationships/hyperlink" Target="https://www.miaxoptions.com/content/fees" TargetMode="External" /><Relationship Id="rId17" Type="http://schemas.openxmlformats.org/officeDocument/2006/relationships/hyperlink" Target="http://www.nasdaqtrader.com/Micro.aspx?id=phlxpricing" TargetMode="External" /><Relationship Id="rId18" Type="http://schemas.openxmlformats.org/officeDocument/2006/relationships/hyperlink" Target="https://advance.lexis.com/api/document?collection=statutes-legislation&amp;id=urn:contentItem:4YF7-GPC1-NRF4-4309-00000-00&amp;context=" TargetMode="External" /><Relationship Id="rId19" Type="http://schemas.openxmlformats.org/officeDocument/2006/relationships/hyperlink" Target="https://advance.lexis.com/api/document?collection=administrative-codes&amp;id=urn:contentItem:4GH9-4PB0-014W-D1V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803V-DT30-YB0V-T01B-00000-00&amp;context=" TargetMode="External" /><Relationship Id="rId21" Type="http://schemas.openxmlformats.org/officeDocument/2006/relationships/hyperlink" Target="http://www.cinnober.com/boat-trade-reporting" TargetMode="External" /><Relationship Id="rId22" Type="http://schemas.openxmlformats.org/officeDocument/2006/relationships/hyperlink" Target="http://www.sec.gov/rules/sro.shtml" TargetMode="External" /><Relationship Id="rId23" Type="http://schemas.openxmlformats.org/officeDocument/2006/relationships/hyperlink" Target="mailto:rule-comments@sec.gov" TargetMode="External" /><Relationship Id="rId24" Type="http://schemas.openxmlformats.org/officeDocument/2006/relationships/hyperlink" Target="https://advance.lexis.com/api/document?collection=administrative-codes&amp;id=urn:contentItem:5SPP-2120-008G-Y2ND-00000-00&amp;context="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GT-1SB0-006W-81W0-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