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555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003, Wednesday, January 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555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OMX BX, Inc.; Notice of Filing and Immediate Effectiveness of Proposed Rule Change To Modify the Fees for Managed Data Solutions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34-76796; File No. SR-BX-2015-084)]</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December 18, 2015, The NASDAQ OMX BX, Inc ("BX") filed with the Securities and Exchange Commission ("Commission") the proposed rule change as described in Items I, II, and III below, which Items have been prepared by BX.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the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BX proposes to modify the charges to be paid for Managed Data Solutions ("MDS"). While the changes proposed herein are effective upon filing, the Exchange has designated that the amendments be operative on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of the proposed rule change is below. Proposed new language is italicized; proposed deletions are bracketed.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Rules of NASDAQ OMX BX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Equity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7026. Distribution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Managed Data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Distributors and Subscribers of Managed Data Solutions products containing BX TotalView data (non-display use only) shall pay the following fees: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5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Schedule for Managed Data</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516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Solutions</w:t>
            </w:r>
          </w:p>
        </w:tc>
        <w:tc>
          <w:tcPr>
            <w:tcW w:w="5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Managed Data Solutions</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$[750]1,500/mo Per Distributor.</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Fee (for the</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 to offer Managed Data</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 to client</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BX Depth Data Professional</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$ 1[0]50/mo Per Subscriber.</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Managed Data Solutions</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Fee (Internal Use</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and includes BX TotalView)</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BX Depth Data Managed Data</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$ 20/mo Per Subscriber.</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 Non-Professional</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Fee (Internal Use</w:t>
            </w:r>
          </w:p>
        </w:tc>
        <w:tc>
          <w:tcPr>
            <w:tcW w:w="5160" w:type="dxa"/>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and includes BX TotalView)</w:t>
            </w:r>
          </w:p>
        </w:tc>
        <w:tc>
          <w:tcPr>
            <w:tcW w:w="5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BX included statements concerning the purpose of and basis for the proposed rule change and discussed any comments it received on the proposed rule change. The text of these statements may be examined at the places specified in Item IV below. BX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increase the charges to be paid by distributors and subscribers of Managed Data Solutions products containing BX TotalView data (non-display use only). Specifically, the Exchange proposes to increase the fee charged to distributors for the right to offer Managed Data Solutions to client organizations to $ 1,500 per month per distributor ("MDS Administration Fee"), and the fee charged to professional subscribers to $ 150 per month per subscriber ("MDS Subscriber Fee"). This proposed rule change will not affect the pricing for non-professional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MDS is a data delivery option available to distributors of BX TotalView. Under the MDS fee structure, distributors may provide data feeds, Application Programming Interfaces (APIs) or similar automated delivery solutions to client organizations with only limited entitlement controls. Through this program, BX offers a much simpler administration process for MDS distributors and subscribers, reducing the burden and cost of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Subscribers of MDS may use the information for internal purposes only and may not distribute the information outside of their organization. MDS presents opportunities for small and mid-size firms to achieve significant cost savings over the cost of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MDS Administration Fee and MDS Subscriber Fee have not changed since their introduction in 2013. Nevertheless, both distributors and subscribers reap the benefits of BX's constant focus on the performance and enhancements to these offerings. As such, BX recently completed a technology refresh to ensure that its data feeds continue to achieve a high level of performance and resiliency. The Exchange has also upgraded and refreshed its disaster recovery capabilities, adding to the increased focus on redundancy and resiliency.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n3 in general, and with sections 6(b)(4) and 6(b)(5) of the Act, n4 in particular, in that it provides an equitable allocation of reasonable fees among Subscribers and recipients of BX data and is not designed to permit unfair discrimination between them. BX's proposal to increase the MDS Administration Fee and MDS Subscriber Fee is also consistent with the Act in that it reflects an equitable allocation of reasonable fees. The Commission has long recognized the fair and equitable and not unreasonably discriminatory nature of assessing different fees for distributors and professional and non-professional users of the same data. BX also believes it is equitable to assess a higher fee per professional user than to an ordinary non-professional user due to the enhanced flexibility, lower overall costs and value that it offers distributors.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1"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broker-dealers at all, it follows that the price at which such data is sold should be set by the market as well. BX TotalView is precisely the sort of market data products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2"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 upheld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 "In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321,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at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while upholding the Commission's conclusion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may be relied upon to establish the fairness of prices, nevertheless concluded that the record </w:t>
      </w:r>
      <w:r>
        <w:rPr>
          <w:rFonts w:ascii="arial" w:eastAsia="arial" w:hAnsi="arial" w:cs="arial"/>
          <w:b w:val="0"/>
          <w:i/>
          <w:strike w:val="0"/>
          <w:noProof w:val="0"/>
          <w:color w:val="000000"/>
          <w:position w:val="0"/>
          <w:sz w:val="20"/>
          <w:u w:val="none"/>
          <w:vertAlign w:val="baseline"/>
        </w:rPr>
        <w:t>in that case</w:t>
      </w:r>
      <w:r>
        <w:rPr>
          <w:rFonts w:ascii="arial" w:eastAsia="arial" w:hAnsi="arial" w:cs="arial"/>
          <w:b w:val="0"/>
          <w:i w:val="0"/>
          <w:strike w:val="0"/>
          <w:noProof w:val="0"/>
          <w:color w:val="000000"/>
          <w:position w:val="0"/>
          <w:sz w:val="20"/>
          <w:u w:val="none"/>
          <w:vertAlign w:val="baseline"/>
        </w:rPr>
        <w:t xml:space="preserve"> did not adequately support the Commission's conclusions as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NYSE Arca's data product at issue in that case. As explained below in BX's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BX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data that was not in the record in the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case, and that the Commission is entitled to rely upon such evidence in concluding fees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in accordance with the relevant statutory standards. n7 Accordingly, any findings of the court with respect to that product may not be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relevant to the product at issue in this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It should also be noted that section 916 of the Dodd-Frank Wall Street Reform and Consumer Protection Act of 2010 ("Dodd-Frank Act") has amended paragraph (A) of section 19(b)(3) of the Act, </w:t>
      </w:r>
      <w:hyperlink r:id="rId8"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 xml:space="preserve">, to make it clear that all exchange fees, including fees for market data, may be filed by exchanges on an immediately effective basis.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NetCoalition v.  SEC, 715 F.3d 342 (D.C. Cir. 2013)</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II</w:t>
      </w:r>
      <w:r>
        <w:rPr>
          <w:rFonts w:ascii="arial" w:eastAsia="arial" w:hAnsi="arial" w:cs="arial"/>
          <w:b w:val="0"/>
          <w:i w:val="0"/>
          <w:strike w:val="0"/>
          <w:noProof w:val="0"/>
          <w:color w:val="000000"/>
          <w:position w:val="0"/>
          <w:sz w:val="20"/>
          <w:u w:val="none"/>
          <w:vertAlign w:val="baseline"/>
        </w:rPr>
        <w:t xml:space="preserve"> ") (finding no jurisdiction to review Commission's non-suspension of immediately effective fee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BX believes that the allocation of the proposed fee is fair and equitable in accordance with section 6(b)(4) of the Act, and not unreasonably discriminatory in accordance with section 6(b)(5) of the Act. As described above, the proposed fee is based on pricing conventions and distinctions that exist in BX's current fee schedule. These distinctions are each based on principles of fairness and equity that have helped for many years to maintain fair, equitable, and not unreasonably discriminatory fees, and that apply with equal or greater force to the current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greater detail below, if BX has calculated improperly and the market deems the proposed fees to be unfair, inequitable, or unreasonably discriminatory, firms can discontinue the use of their data because the proposed product is entirely optional to all parties. Firms are not required to purchase data and BX is not required to make data available or to offer specific pricing alternatives for potential purchases. BX can discontinue offering a pricing alternative (as it has in the past) and firms can discontinue their use at any time and for any reason (as they often do), including due to their assessment of the reasonableness of fees charged. BX continues to establish and revise pricing policies aimed at increasing fairness and equitable allocation of fees among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BX believes that periodically it must adjust the Subscriber fees to reflect market forces. BX believes it is an appropriate time to adjust this fee to more accurately reflect the investments made to enhance this product through capacity upgrades. This also reflects that the market for this information is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continually evolves as products develop and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Notwithstanding its determination that the Commission may rely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establish fair and equitably allocated fees for market data,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court found that the Commission had not, in that case, compiled a record that adequately supported its conclusion that the market for the data at issue in the case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BX believes that a record may readily be established to demonstrate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platforms that provide transaction execution and routing services and proprietary data products. Transaction execution and proprietary data products are complementary in that market data is both an input and a byproduct of the execution service. In fact, market data and trade execution are a paradigmatic example of joint products with joint costs. Data products are valuable to many end Subscribers only insofar as they provide information that end Subscribers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an exchange's customers view the costs of transaction executions and of data as a unified cost of doing business with the exchange. A broker-dealer ("BD") will direct orders to a particular exchange only if the expected revenues from executing trades on the exchange exceed net transaction execution costs and the cost of data that the BD chooses to buy to support its trading decisions (or those of its customers). The choice of data products is, in turn, a product of the value of the products in making profitable trading decisions. If the cost of the product exceeds its expected value, the BD will choose not to buy it. Moreover, as a BD chooses to direct fewer orders to a particular exchange, the value of the product to that BD decreases, for two reasons. First, the product will contain less information, because executions of the BD's orders will not be reflected in it. Second, and perhaps more important, the product will be less valuable to that BD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BD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an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at 24. However,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Similarly,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distribution in isolation from the cost of all of the inputs supporting the creation of market data will inevitably underestimate the cost of the data. Thus, because it is impossible to create data without a fast, technologically robust, and well-regulated execution system, system costs and regulatory costs affect the price of market data. It would be equally misleading, however, to attribute all of the exchange's costs to the market data portion of an exchange's joint product. Rather,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BX pays rebates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w:t>
      </w:r>
      <w:r>
        <w:rPr>
          <w:rFonts w:ascii="arial" w:eastAsia="arial" w:hAnsi="arial" w:cs="arial"/>
          <w:b/>
          <w:i w:val="0"/>
          <w:strike w:val="0"/>
          <w:noProof w:val="0"/>
          <w:color w:val="000000"/>
          <w:position w:val="0"/>
          <w:sz w:val="20"/>
          <w:u w:val="none"/>
          <w:vertAlign w:val="baseline"/>
        </w:rPr>
        <w:t> [*558] </w:t>
      </w:r>
      <w:r>
        <w:rPr>
          <w:rFonts w:ascii="arial" w:eastAsia="arial" w:hAnsi="arial" w:cs="arial"/>
          <w:b w:val="0"/>
          <w:i w:val="0"/>
          <w:strike w:val="0"/>
          <w:noProof w:val="0"/>
          <w:color w:val="000000"/>
          <w:position w:val="0"/>
          <w:sz w:val="20"/>
          <w:u w:val="none"/>
          <w:vertAlign w:val="baseline"/>
        </w:rPr>
        <w:t xml:space="preserve">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BX,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ATS or BD can combine with any other ATS, BD, or multiple ATSs or BDs to produce joint proprietary data products. Additionally, order routers and market data vendors can facilitate single or multiple BDs' production of proprietary data products. The potential sources of proprietary products are virtually limitless. Notably, the potential sources of data include the BDs that submit trade reports to TRFs and that have the ability to consolidate and distribute their data without the involvement of FINRA or an exchange-operated TRF.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NYSE Arca did before registering as exchanges by publishing proprietary book data on the internet. Second, because a single order or transaction report can appear in a core data product, an SRO proprietary product, and/or a non-SRO proprietary product, the data available in proprietary products is exponentially greater than the actual number of orders and transaction reports that exist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contestability of that market. While BDs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Multiple market data vendors already have the capability to aggregate data and disseminate it on a profitable scale, including Bloomberg and Thomson Reuters. In Europe, Cinnober aggregates and disseminates data from over 40 brokers and multilateral trading facilities.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 xml:space="preserve">See </w:t>
      </w:r>
      <w:hyperlink r:id="rId14" w:history="1">
        <w:r>
          <w:rPr>
            <w:rFonts w:ascii="arial" w:eastAsia="arial" w:hAnsi="arial" w:cs="arial"/>
            <w:b w:val="0"/>
            <w:i/>
            <w:strike w:val="0"/>
            <w:noProof w:val="0"/>
            <w:color w:val="0077CC"/>
            <w:position w:val="0"/>
            <w:sz w:val="20"/>
            <w:u w:val="single"/>
            <w:vertAlign w:val="baseline"/>
          </w:rPr>
          <w:t>http://www.cinnober.com/boat-trade-reporting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environment,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539.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were neither solicited nor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n9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to determine whether the proposed rule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as amended,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SR-BX-2015-084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SR-BX-2015-084. This file number should be included on the subject line if email is used. To help the Commission process and review your comments more efficiently, please use only one method. The Commission will post all comments on the Commission's Internet Web site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on official business days between the hours of 10:00 a.m. and 3:00 p.m. Copies of such filing also will be available for inspection and copying at the principal offices of the Exchange. All comments received will be posted without change; the Commission does not edit personal identifying information from submissions. You should submit only information that you wish to make available publicly. All submissions should refer to File Number SR-BX-2015-084, and should be submitted on or before January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Jill M. Peterson,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2015-33209 Filed 1-5-16;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555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C1-NRF4-4309-00000-00&amp;context=" TargetMode="External" /><Relationship Id="rId11" Type="http://schemas.openxmlformats.org/officeDocument/2006/relationships/hyperlink" Target="https://advance.lexis.com/api/document?collection=administrative-codes&amp;id=urn:contentItem:4GH9-4PB0-014W-D1VJ-00000-00&amp;context=" TargetMode="External" /><Relationship Id="rId12" Type="http://schemas.openxmlformats.org/officeDocument/2006/relationships/hyperlink" Target="https://advance.lexis.com/api/document?collection=cases&amp;id=urn:contentItem:803V-DT30-YB0V-T01B-00000-00&amp;context=" TargetMode="External" /><Relationship Id="rId13" Type="http://schemas.openxmlformats.org/officeDocument/2006/relationships/hyperlink" Target="https://advance.lexis.com/api/document?collection=cases&amp;id=urn:contentItem:589M-GYC1-F04K-Y02R-00000-00&amp;context=" TargetMode="External" /><Relationship Id="rId14" Type="http://schemas.openxmlformats.org/officeDocument/2006/relationships/hyperlink" Target="http://www.cinnober.com/boat-trade-reporting" TargetMode="External" /><Relationship Id="rId15" Type="http://schemas.openxmlformats.org/officeDocument/2006/relationships/hyperlink" Target="http://www.sec.gov/rules/sro.shtml" TargetMode="External" /><Relationship Id="rId16" Type="http://schemas.openxmlformats.org/officeDocument/2006/relationships/hyperlink" Target="mailto:rule-comments@sec.gov" TargetMode="External" /><Relationship Id="rId17" Type="http://schemas.openxmlformats.org/officeDocument/2006/relationships/hyperlink" Target="https://advance.lexis.com/api/document?collection=administrative-codes&amp;id=urn:contentItem:5SPP-2120-008G-Y2ND-00000-00&amp;context=" TargetMode="Externa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ST-K5J0-006W-82Y8-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53271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71564255</vt:lpwstr>
  </property>
  <property fmtid="{D5CDD505-2E9C-101B-9397-08002B2CF9AE}" pid="3" name="LADocCount">
    <vt:lpwstr>1</vt:lpwstr>
  </property>
  <property fmtid="{D5CDD505-2E9C-101B-9397-08002B2CF9AE}" pid="4" name="UserPermID">
    <vt:lpwstr>urn:user:PA185916758</vt:lpwstr>
  </property>
</Properties>
</file>