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55513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161, Friday, August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55513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Nasdaq Rule 7047</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34-78578; File No. SR-NASDAQ-2016-109]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August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August 3, 2016, The NASDAQ Stock Market LLC ("Nasdaq" or "Exchange") filed with the Securities and Exchange Commission ("SEC" or "Commission") a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is proposing to amend Rule 7047 (Nasdaq Basic) n3 with language indicating the removal of certain credits that a Distributor n4 is eligible to receive in respect to Nasdaq Basic.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References to rules are to Nasdaq rules,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term "Distributor" refers to any entity that receives Nasdaq Basic data directly from Nasdaq or indirectly through another entity and then distributes it to one or more Subscribers. Rule 7047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Nasdaq Basic, which is discussed below, is a proprietary data product that provides a low cost alternative to other Level 1 offerings. Rule 7047. Level 1 provides primary market data such as bid/ask price and size and last price and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changes pursuant to this proposal are effective upon filing, the Exchange has designated these changes to be operative on September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w:t>
      </w:r>
      <w:r>
        <w:rPr>
          <w:rFonts w:ascii="arial" w:eastAsia="arial" w:hAnsi="arial" w:cs="arial"/>
          <w:b w:val="0"/>
          <w:i/>
          <w:strike w:val="0"/>
          <w:noProof w:val="0"/>
          <w:color w:val="000000"/>
          <w:position w:val="0"/>
          <w:sz w:val="20"/>
          <w:u w:val="none"/>
          <w:vertAlign w:val="baseline"/>
        </w:rPr>
        <w:t>nasdaq.cchwallstreet.com</w:t>
      </w:r>
      <w:r>
        <w:rPr>
          <w:rFonts w:ascii="arial" w:eastAsia="arial" w:hAnsi="arial" w:cs="arial"/>
          <w:b w:val="0"/>
          <w:i w:val="0"/>
          <w:strike w:val="0"/>
          <w:noProof w:val="0"/>
          <w:color w:val="000000"/>
          <w:position w:val="0"/>
          <w:sz w:val="20"/>
          <w:u w:val="none"/>
          <w:vertAlign w:val="baseline"/>
        </w:rPr>
        <w:t>, at Nasdaq's principal office,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Nasdaq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proposal is to amend Rule 7047(c) with language indicating that the Distributor fee for Nasdaq Basic will be uniformly applied to all Distributors, regardless of any user fees, immediately after approval to receive Nasdaq Basic, at the current fee of $ 1,500 per month.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Now, as discussed below, each Distributor is eligible to receive a credit against its monthly Distributor Fee for Nasdaq Basic equal to the amount of its monthly user fees for Nasdaq Basic up to a maximum of $ 1,500. Rule 7047(c).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Basic is a proprietary data product that provides a low cost alternative to the other Level 1 offerings. Nasdaq Basic provides the best bid and offer and last sale information for all U.S. exchange-listed securities based on liquidity within the Nasdaq market center, as well as trades reported to the FINRA/Nasdaq Trade Reporting Facility&lt;TM&gt; (TRF&lt;TM&gt;) ("FINRA/Nasdaq TRF"). n7 Thus, Nasdaq Basic provides </w:t>
      </w:r>
      <w:r>
        <w:rPr>
          <w:rFonts w:ascii="arial" w:eastAsia="arial" w:hAnsi="arial" w:cs="arial"/>
          <w:b/>
          <w:i w:val="0"/>
          <w:strike w:val="0"/>
          <w:noProof w:val="0"/>
          <w:color w:val="000000"/>
          <w:position w:val="0"/>
          <w:sz w:val="20"/>
          <w:u w:val="none"/>
          <w:vertAlign w:val="baseline"/>
        </w:rPr>
        <w:t> [*55514] </w:t>
      </w:r>
      <w:r>
        <w:rPr>
          <w:rFonts w:ascii="arial" w:eastAsia="arial" w:hAnsi="arial" w:cs="arial"/>
          <w:b w:val="0"/>
          <w:i w:val="0"/>
          <w:strike w:val="0"/>
          <w:noProof w:val="0"/>
          <w:color w:val="000000"/>
          <w:position w:val="0"/>
          <w:sz w:val="20"/>
          <w:u w:val="none"/>
          <w:vertAlign w:val="baseline"/>
        </w:rPr>
        <w:t xml:space="preserve"> Nasdaq Last Sale ("NLS") together with best bid and offer information from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"FINRA" is the Financial Industry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was approved by the Commission in June of 2008. NLS is a non-core market data product designed for distribution through internet portals and broadcast television, as well as distribution to individuals that access the data via a username/password-identified account and/or quote-counting mechanisms. n8 NLS includes two data elements: (1) Last sale transaction reports from the Nasdaq Market Center, and (2) last sale transaction reports from the FINRA/Nasdaq TRF. n9 As such, NLS is a "non-core" product that provides a subset of the "core" quotation and last sale data provided by securities information processors ("SIPs") under the CQ/CT Plan and the Nasdaq Unlisted Trading Privileges ("UTP")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57965 (June 16, 2008), </w:t>
      </w:r>
      <w:hyperlink r:id="rId10"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(approval order establishing NLS pilot).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71351 (January 17, 2014), </w:t>
      </w:r>
      <w:hyperlink r:id="rId11" w:history="1">
        <w:r>
          <w:rPr>
            <w:rFonts w:ascii="arial" w:eastAsia="arial" w:hAnsi="arial" w:cs="arial"/>
            <w:b w:val="0"/>
            <w:i/>
            <w:strike w:val="0"/>
            <w:noProof w:val="0"/>
            <w:color w:val="0077CC"/>
            <w:position w:val="0"/>
            <w:sz w:val="20"/>
            <w:u w:val="single"/>
            <w:vertAlign w:val="baseline"/>
          </w:rPr>
          <w:t>79 FR 4200</w:t>
        </w:r>
      </w:hyperlink>
      <w:r>
        <w:rPr>
          <w:rFonts w:ascii="arial" w:eastAsia="arial" w:hAnsi="arial" w:cs="arial"/>
          <w:b w:val="0"/>
          <w:i w:val="0"/>
          <w:strike w:val="0"/>
          <w:noProof w:val="0"/>
          <w:color w:val="000000"/>
          <w:position w:val="0"/>
          <w:sz w:val="20"/>
          <w:u w:val="none"/>
          <w:vertAlign w:val="baseline"/>
        </w:rPr>
        <w:t xml:space="preserve"> (January 24, 2014) (SR-NASDAQ-2014-006) (notice of filing and immediate effectiveness regarding permanent approval of NLS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7039(a)-(c).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Basic, another non-core market data product, was approved by the Commission about a year later in March of 2009. n10 As originally proposed, the Nasdaq Basic product was to provide two data feeds: (1) A feed carrying the best bid and offer on the Nasdaq Market Center, and (2) a feed containing NLS which carries last sale transaction reports from Nasdaq and from the FINRA/Nasdaq TRF.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59582 (March 16, 2009), </w:t>
      </w:r>
      <w:hyperlink r:id="rId12"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(SR-NASDAQ-2008-102) (order approving Nasdaq Basic pilot and finding it to be consistent with Sections 6(b)(4), (5) and (8) of the Act and Rule 603(a)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65527 (October 11, 2011), </w:t>
      </w:r>
      <w:hyperlink r:id="rId13" w:history="1">
        <w:r>
          <w:rPr>
            <w:rFonts w:ascii="arial" w:eastAsia="arial" w:hAnsi="arial" w:cs="arial"/>
            <w:b w:val="0"/>
            <w:i/>
            <w:strike w:val="0"/>
            <w:noProof w:val="0"/>
            <w:color w:val="0077CC"/>
            <w:position w:val="0"/>
            <w:sz w:val="20"/>
            <w:u w:val="single"/>
            <w:vertAlign w:val="baseline"/>
          </w:rPr>
          <w:t>76 FR 64147</w:t>
        </w:r>
      </w:hyperlink>
      <w:r>
        <w:rPr>
          <w:rFonts w:ascii="arial" w:eastAsia="arial" w:hAnsi="arial" w:cs="arial"/>
          <w:b w:val="0"/>
          <w:i w:val="0"/>
          <w:strike w:val="0"/>
          <w:noProof w:val="0"/>
          <w:color w:val="000000"/>
          <w:position w:val="0"/>
          <w:sz w:val="20"/>
          <w:u w:val="none"/>
          <w:vertAlign w:val="baseline"/>
        </w:rPr>
        <w:t xml:space="preserve"> (October 17, 2011) (SR-NASDAQ-2011-129) (notice of filing and immediate effectiveness re permanent approval of Nasdaq Basic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Basic, which is described in current Rule 7047, was expanded to three separate components, which may be purchased individually or in combination. n11 The Nasdaq Basic components are: (i) Nasdaq Basic for Nasdaq, which contains the best bid and offer on the Nasdaq Market Center and last sale transaction reports for Nasdaq and the FINRA/Nasdaq TRF for Nasdaq-listed stocks, (ii) Nasdaq Basic for NYSE, which contains the best bid and offer on the Nasdaq Market Center and last sale transaction reports for Nasdaq and the FINRA/Nasdaq TRF for NYSE-listed stocks, and (iii) Nasdaq Basic for NYSE MKT, which contains the best bid and offer on the Nasdaq Market Center and last sale transaction reports for Nasdaq and the FINRA/Nasdaq TRF for stocks listed on NYSE MKT and other listing venues whose quotes and trade reports are disseminated on Tape B.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Tape A and Tape B securities are disseminated pursuant to the Security Industry Automation Corporation's ("SIAC") Consolidated Tape Association Plan/Consolidated Quotation System, or CTA/CQS ("CTA"). Tape C securities are disseminated pursuant to the UTP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 structure for Nasdaq Basic features a fee for Professional Subscribers and a reduced fee for Non-Professional Subscribers. n13 The current monthly fees for Non-Professional Subscribers are $ 0.50 per Subscriber for Nasdaq Basic for Nasdaq, $ 0.25 per Subscriber for Nasdaq Basic for NYSE, and $ 0.25 per Subscriber for Nasdaq Basic for NYSE MKT. The current monthly fees for Professional Subscribers are $ 13 per Subscriber for Nasdaq Basic for Nasdaq, $ 6.50 per Subscriber for Nasdaq Basic for NYSE, and $ 6.50 per Subscriber for Nasdaq Basic for NYSE MKT. There is also a per query option for use cases that do not require a monthly subscription for unlimited usage, a distributor fee for internal and external distribution, and certain credits for Nasdaq Basic users.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Per Rule 7047(d)(3): (A) A "Non-Professional Subscriber" is a natural person who is not (i) registered or qualified in any capacity with the Commission, the Commodity Futures Trading Commission, any state securities agency, any securities exchange or association, or (ii) any commodities or futures contract market or association; engaged as an "investment adviser" as that term is defined in Section 201(11) of the Investment Advisers Act of 1940 (whether or not registered or qualified under that Act); or (iii) employed by a bank or other organization exempt from registration under federal or state securities laws to perform functions that would require registration or qualification if such functions were performed for an organization not so exempt. (B) A "Professional Subscriber" is any Subscriber other than a Non-Professional Subscriber.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7047.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72620 (July 16, 2014), </w:t>
      </w:r>
      <w:hyperlink r:id="rId14" w:history="1">
        <w:r>
          <w:rPr>
            <w:rFonts w:ascii="arial" w:eastAsia="arial" w:hAnsi="arial" w:cs="arial"/>
            <w:b w:val="0"/>
            <w:i/>
            <w:strike w:val="0"/>
            <w:noProof w:val="0"/>
            <w:color w:val="0077CC"/>
            <w:position w:val="0"/>
            <w:sz w:val="20"/>
            <w:u w:val="single"/>
            <w:vertAlign w:val="baseline"/>
          </w:rPr>
          <w:t>79 FR 42572</w:t>
        </w:r>
      </w:hyperlink>
      <w:r>
        <w:rPr>
          <w:rFonts w:ascii="arial" w:eastAsia="arial" w:hAnsi="arial" w:cs="arial"/>
          <w:b w:val="0"/>
          <w:i w:val="0"/>
          <w:strike w:val="0"/>
          <w:noProof w:val="0"/>
          <w:color w:val="000000"/>
          <w:position w:val="0"/>
          <w:sz w:val="20"/>
          <w:u w:val="none"/>
          <w:vertAlign w:val="baseline"/>
        </w:rPr>
        <w:t xml:space="preserve"> (July 22, 2014) (SR-NASDAQ-2014-070) (notice of filing and immediate effectiveness regarding Nasdaq Basic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 separate Distributor fee for Nasdaq Basic. n15 Currently, each Distributor of any Nasdaq Basic product shall pay a fee of $ 1,500 per month for either internal or external distribution or both. n16 Currently, each Distributor is eligible to receive a credit against its monthly Distributor Fee for Nasdaq Basic equal to the amount of its monthly user fees for Nasdaq Basic up to a maximum of $ 1,500 (the "credit"). The Exchange now proposes to eliminate the credit from subsection (c)(2) of Rule 7047. n17 Going forward, the Exchange proposes to apply the Distributor Fee (currently $ 1,500 per month) for all Distributors of Nasdaq Basic immediately after the Exchange approves a Distributor for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In addition, there is also an enterprise license available for certain Nasdaq Basic recipients. Rule 7047(b)(4) states in part, for example: (4) As an alternative to (b)(1), a broker-dealer may purchase an enterprise license for internal Professional Subscribers to receive Nasdaq Basic for Nasdaq, Nasdaq Basic for NYSE, and Nasdaq Basic for NYSE MKT. The fee will be $ 365,000 per month; provided, however, that if the broker-dealer obtains the license with respect to usage of Nasdaq Basic provided by an External Distributor that controls display of the product, the fee will be $ 365,000 per month for up to 16,000 internal Professional Subscribers, plus $ 2 for each additional internal Professional Subscriber over 16,000; and provided further that the broker-dealer must obtain a separate enterprise license for each External Distributor that controls display of the product if it wishes such External Distributor to be covered by an enterprise license rather than per-Subscriber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Internal distribution is where a Distributor receives Nasdaq Basic data and then distributes that data to one or more Subscribers within the Distributor's own entity. External distribution is where a Distributor receives Nasdaq Basic data and then distributes that data to one or more Subscribers outside the Distributor's own entity. Rule 7047(d)(1).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Subsection (c)(3) of Rule 7047 will be re-numbered to subsection (c)(2), and will continue to state: A Distributor may pay $ 1,500 per month to distribute data derived from Nasdaq Basic to an unlimited number of non-professional subscribers. This fee is in addition to the Distributor Fee listed in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reasonable and proper. This is because Distributors will not be disadvantaged by the rule change because this would be applied to all Distributors after approval to receive Nasdaq Basic data. The credit was implemented in order to incentivize new firms to subscribe to Nasdaq Basic and grow the product. Due to strong product growth and continued overall industry cost savings with Nasdaq Basic compared to Level 1 data, as well as the administrative burden of maintaining the credit, the Exchange believes the change to remove the Distributor fee credit as described will not deter new subscribers or be unfairly discriminatory. Charging a monthly fixed fee without a credit available to all eligible Distributors makes this product similar to nearly all other Nasdaq data products and makes its administration less burdensome on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believes that the proposed rule change is consistent with the provisions of Section 6 of the Act, n18 in general, and with Sections 6(b)(4) and (5) of the Act, n19 in particular, in that it provides for the equitable allocation of reasonable dues, fees, and other charges among its members, issuers and other </w:t>
      </w:r>
      <w:r>
        <w:rPr>
          <w:rFonts w:ascii="arial" w:eastAsia="arial" w:hAnsi="arial" w:cs="arial"/>
          <w:b/>
          <w:i w:val="0"/>
          <w:strike w:val="0"/>
          <w:noProof w:val="0"/>
          <w:color w:val="000000"/>
          <w:position w:val="0"/>
          <w:sz w:val="20"/>
          <w:u w:val="none"/>
          <w:vertAlign w:val="baseline"/>
        </w:rPr>
        <w:t> [*55515] </w:t>
      </w:r>
      <w:r>
        <w:rPr>
          <w:rFonts w:ascii="arial" w:eastAsia="arial" w:hAnsi="arial" w:cs="arial"/>
          <w:b w:val="0"/>
          <w:i w:val="0"/>
          <w:strike w:val="0"/>
          <w:noProof w:val="0"/>
          <w:color w:val="000000"/>
          <w:position w:val="0"/>
          <w:sz w:val="20"/>
          <w:u w:val="none"/>
          <w:vertAlign w:val="baseline"/>
        </w:rPr>
        <w:t xml:space="preserve"> persons using its facilities, and does not unfairly discriminate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5"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5"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Nasdaq Basic product provides a subset of the data that is also provided by the Level 1 data feed available under the Nasdaq UTP Plan. Moreover, the current fees for Nasdaq Basic, similarly to the fees for NLS and NLS Plus, having been previously established, and the Commission has either specifically determined them to be consistent with the Act or has permitted them to become effective on an immediately effective basis. n20 Thus, this proposed rule change does not change a fee of the Exchange, but rather eliminates the Distributor fee credit, such that going forward the Exchange will uniformly apply the Distributor fee for all subscribers of Nasdaq Basic. However, to the extent that the proposed rule change is effectively a proposed fee that has already been approved, Nasdaq believes that this also provides further justification that the proposed credit elimination provides for the equitable allocation of reasonable dues, fees and other charges among members and issuers and other persons using any facility or system which Nasdaq operates or controls, and is not designed to permit unfair discrimination between customers, issuers, brokers, or dealers, n21 in that the change reflects the full value of the product without increase in its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59582 (March 16, 2009), </w:t>
      </w:r>
      <w:hyperlink r:id="rId12"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(SR-NASDAQ-2008-102) (finding current per user and per subscriber fees to be consistent with the Act); 59933 (May 15, 2009), </w:t>
      </w:r>
      <w:hyperlink r:id="rId16" w:history="1">
        <w:r>
          <w:rPr>
            <w:rFonts w:ascii="arial" w:eastAsia="arial" w:hAnsi="arial" w:cs="arial"/>
            <w:b w:val="0"/>
            <w:i/>
            <w:strike w:val="0"/>
            <w:noProof w:val="0"/>
            <w:color w:val="0077CC"/>
            <w:position w:val="0"/>
            <w:sz w:val="20"/>
            <w:u w:val="single"/>
            <w:vertAlign w:val="baseline"/>
          </w:rPr>
          <w:t>74 FR 24889</w:t>
        </w:r>
      </w:hyperlink>
      <w:r>
        <w:rPr>
          <w:rFonts w:ascii="arial" w:eastAsia="arial" w:hAnsi="arial" w:cs="arial"/>
          <w:b w:val="0"/>
          <w:i w:val="0"/>
          <w:strike w:val="0"/>
          <w:noProof w:val="0"/>
          <w:color w:val="000000"/>
          <w:position w:val="0"/>
          <w:sz w:val="20"/>
          <w:u w:val="none"/>
          <w:vertAlign w:val="baseline"/>
        </w:rPr>
        <w:t xml:space="preserve"> (May 26, 2009) (SR-NASDAQ-2009-208[sic]) (finding current distributor fees for Nasdaq Basic to be consistent with the Act); 64994 (July 29, 2011), </w:t>
      </w:r>
      <w:hyperlink r:id="rId17" w:history="1">
        <w:r>
          <w:rPr>
            <w:rFonts w:ascii="arial" w:eastAsia="arial" w:hAnsi="arial" w:cs="arial"/>
            <w:b w:val="0"/>
            <w:i/>
            <w:strike w:val="0"/>
            <w:noProof w:val="0"/>
            <w:color w:val="0077CC"/>
            <w:position w:val="0"/>
            <w:sz w:val="20"/>
            <w:u w:val="single"/>
            <w:vertAlign w:val="baseline"/>
          </w:rPr>
          <w:t>76 FR 47621</w:t>
        </w:r>
      </w:hyperlink>
      <w:r>
        <w:rPr>
          <w:rFonts w:ascii="arial" w:eastAsia="arial" w:hAnsi="arial" w:cs="arial"/>
          <w:b w:val="0"/>
          <w:i w:val="0"/>
          <w:strike w:val="0"/>
          <w:noProof w:val="0"/>
          <w:color w:val="000000"/>
          <w:position w:val="0"/>
          <w:sz w:val="20"/>
          <w:u w:val="none"/>
          <w:vertAlign w:val="baseline"/>
        </w:rPr>
        <w:t xml:space="preserve"> (August 5, 2011) (SR-NASDAQ-2011-091) (immediate effectiveness of optional derived data fee); and 65526 (October 11, 2011), </w:t>
      </w:r>
      <w:hyperlink r:id="rId18" w:history="1">
        <w:r>
          <w:rPr>
            <w:rFonts w:ascii="arial" w:eastAsia="arial" w:hAnsi="arial" w:cs="arial"/>
            <w:b w:val="0"/>
            <w:i/>
            <w:strike w:val="0"/>
            <w:noProof w:val="0"/>
            <w:color w:val="0077CC"/>
            <w:position w:val="0"/>
            <w:sz w:val="20"/>
            <w:u w:val="single"/>
            <w:vertAlign w:val="baseline"/>
          </w:rPr>
          <w:t>76 FR 64137</w:t>
        </w:r>
      </w:hyperlink>
      <w:r>
        <w:rPr>
          <w:rFonts w:ascii="arial" w:eastAsia="arial" w:hAnsi="arial" w:cs="arial"/>
          <w:b w:val="0"/>
          <w:i w:val="0"/>
          <w:strike w:val="0"/>
          <w:noProof w:val="0"/>
          <w:color w:val="000000"/>
          <w:position w:val="0"/>
          <w:sz w:val="20"/>
          <w:u w:val="none"/>
          <w:vertAlign w:val="baseline"/>
        </w:rPr>
        <w:t xml:space="preserve"> (October 17, 2011) (SR-NASDAQ-2011-130) (immediate effectiveness of enterprise license fee). Similarly, Non-Professional, as opposed to Professional, fees have been established and approved.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21856 (March 15, 1985), </w:t>
      </w:r>
      <w:r>
        <w:rPr>
          <w:rFonts w:ascii="arial" w:eastAsia="arial" w:hAnsi="arial" w:cs="arial"/>
          <w:b w:val="0"/>
          <w:i/>
          <w:strike w:val="0"/>
          <w:noProof w:val="0"/>
          <w:color w:val="000000"/>
          <w:position w:val="0"/>
          <w:sz w:val="20"/>
          <w:u w:val="none"/>
          <w:vertAlign w:val="baseline"/>
        </w:rPr>
        <w:t>50 FR 11472</w:t>
      </w:r>
      <w:r>
        <w:rPr>
          <w:rFonts w:ascii="arial" w:eastAsia="arial" w:hAnsi="arial" w:cs="arial"/>
          <w:b w:val="0"/>
          <w:i w:val="0"/>
          <w:strike w:val="0"/>
          <w:noProof w:val="0"/>
          <w:color w:val="000000"/>
          <w:position w:val="0"/>
          <w:sz w:val="20"/>
          <w:u w:val="none"/>
          <w:vertAlign w:val="baseline"/>
        </w:rPr>
        <w:t xml:space="preserve"> (March 21, 1985) (SR-NASD-85-1); and 57965 (June 16, 2008), </w:t>
      </w:r>
      <w:hyperlink r:id="rId10"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72620 (July 16, 2014), </w:t>
      </w:r>
      <w:hyperlink r:id="rId14" w:history="1">
        <w:r>
          <w:rPr>
            <w:rFonts w:ascii="arial" w:eastAsia="arial" w:hAnsi="arial" w:cs="arial"/>
            <w:b w:val="0"/>
            <w:i/>
            <w:strike w:val="0"/>
            <w:noProof w:val="0"/>
            <w:color w:val="0077CC"/>
            <w:position w:val="0"/>
            <w:sz w:val="20"/>
            <w:u w:val="single"/>
            <w:vertAlign w:val="baseline"/>
          </w:rPr>
          <w:t>79 FR 42572</w:t>
        </w:r>
      </w:hyperlink>
      <w:r>
        <w:rPr>
          <w:rFonts w:ascii="arial" w:eastAsia="arial" w:hAnsi="arial" w:cs="arial"/>
          <w:b w:val="0"/>
          <w:i w:val="0"/>
          <w:strike w:val="0"/>
          <w:noProof w:val="0"/>
          <w:color w:val="000000"/>
          <w:position w:val="0"/>
          <w:sz w:val="20"/>
          <w:u w:val="none"/>
          <w:vertAlign w:val="baseline"/>
        </w:rPr>
        <w:t xml:space="preserve"> (July 22, 2014) (SR-NASDAQ-2014-070) (notice of filing and immediate effectiveness regarding Nasdaq Basic fees).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75600 (August 4, 2015), </w:t>
      </w:r>
      <w:hyperlink r:id="rId19" w:history="1">
        <w:r>
          <w:rPr>
            <w:rFonts w:ascii="arial" w:eastAsia="arial" w:hAnsi="arial" w:cs="arial"/>
            <w:b w:val="0"/>
            <w:i/>
            <w:strike w:val="0"/>
            <w:noProof w:val="0"/>
            <w:color w:val="0077CC"/>
            <w:position w:val="0"/>
            <w:sz w:val="20"/>
            <w:u w:val="single"/>
            <w:vertAlign w:val="baseline"/>
          </w:rPr>
          <w:t>80 FR 47968</w:t>
        </w:r>
      </w:hyperlink>
      <w:r>
        <w:rPr>
          <w:rFonts w:ascii="arial" w:eastAsia="arial" w:hAnsi="arial" w:cs="arial"/>
          <w:b w:val="0"/>
          <w:i w:val="0"/>
          <w:strike w:val="0"/>
          <w:noProof w:val="0"/>
          <w:color w:val="000000"/>
          <w:position w:val="0"/>
          <w:sz w:val="20"/>
          <w:u w:val="none"/>
          <w:vertAlign w:val="baseline"/>
        </w:rPr>
        <w:t xml:space="preserve"> (August 10, 2015) (SR-NASDAQ-2015-88) (notice of filing and immediate effectiveness regarding NLS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5"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credit elimination continues to reflect an equitable allocation and continues to be not unfairly discriminatory. Nasdaq Basic, like NLS and NLS Plus, are voluntary products for which market participants can readily substitute core data feeds that provide quotation and last sale information. Accordingly, Nasdaq is constrained from pricing such products in a manner that would be inequitable or unfairly discriminatory. The distinction between fees for professional and non-professional users, and between Distributors and other users, is consistent with the distinction made under Commission-approved fees for core data, and the applicable fees are lower than applicable fees for core data to reflect the lesser quantum of data made available. The Exchange believes that the proposed rule change is reasonable, equitable and not unfairly discriminatory. This is because current Distributors will not be disadvantaged by the rule change, because even if the credit deletion could be seen in the nature of a fee increase, current Distributors have been able to take advantage of the credit under current Rule 7047. And, on a going forward basis the monthly Distributor fee would be applied uniformly to all Distributors after approval to receive Nasdaq Basic data, which would help with the administration of costs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Nasdaq believes that its Nasdaq Basic, as also NLS and NLS Plus, market data products are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0"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fee liable data products such as Nasdaq Basic, and also NLS and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this proposal simply codifies the relevant fee structure into an Exchange rule.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data products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fee structure for Nasdaq Basic, similarly to NLS and NLS Plus, also continues to reflect an equitable allocation and continues not be unfairly discriminatory, because these are voluntary products which market participants can readily substitute (or put together themselves). n23 Accordingly, Nasdaq is constrained from providing such products in a manner that would be inequitable or unfairly discriminatory. Moreover, the fee schedules for Nasdaq Basic, as also for NLS and NLS Plus, are designed to ensure that the fees charged are tailored to the specific usage patterns of a range of potential customers. Thus, for example, Professional Subscriber fees provide a means for brokerage customers to use the information internally; and the distinction between fees for Professional and Non-Professional users, as also Distributors, </w:t>
      </w:r>
      <w:r>
        <w:rPr>
          <w:rFonts w:ascii="arial" w:eastAsia="arial" w:hAnsi="arial" w:cs="arial"/>
          <w:b/>
          <w:i w:val="0"/>
          <w:strike w:val="0"/>
          <w:noProof w:val="0"/>
          <w:color w:val="000000"/>
          <w:position w:val="0"/>
          <w:sz w:val="20"/>
          <w:u w:val="none"/>
          <w:vertAlign w:val="baseline"/>
        </w:rPr>
        <w:t> [*55516] </w:t>
      </w:r>
      <w:r>
        <w:rPr>
          <w:rFonts w:ascii="arial" w:eastAsia="arial" w:hAnsi="arial" w:cs="arial"/>
          <w:b w:val="0"/>
          <w:i w:val="0"/>
          <w:strike w:val="0"/>
          <w:noProof w:val="0"/>
          <w:color w:val="000000"/>
          <w:position w:val="0"/>
          <w:sz w:val="20"/>
          <w:u w:val="none"/>
          <w:vertAlign w:val="baseline"/>
        </w:rPr>
        <w:t xml:space="preserve"> is consistent with the distinction made under Commission-approved fees for core data, and the applicable fees are lower than applicable fees for core data to reflect the lesser quantum of data made available. The range of fee options further ensures that customers are not charged a fee that is inequitably disproportionate to the use that they make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75257 (June 22, 2015), </w:t>
      </w:r>
      <w:hyperlink r:id="rId21" w:history="1">
        <w:r>
          <w:rPr>
            <w:rFonts w:ascii="arial" w:eastAsia="arial" w:hAnsi="arial" w:cs="arial"/>
            <w:b w:val="0"/>
            <w:i/>
            <w:strike w:val="0"/>
            <w:noProof w:val="0"/>
            <w:color w:val="0077CC"/>
            <w:position w:val="0"/>
            <w:sz w:val="20"/>
            <w:u w:val="single"/>
            <w:vertAlign w:val="baseline"/>
          </w:rPr>
          <w:t>80 FR 36862</w:t>
        </w:r>
      </w:hyperlink>
      <w:r>
        <w:rPr>
          <w:rFonts w:ascii="arial" w:eastAsia="arial" w:hAnsi="arial" w:cs="arial"/>
          <w:b w:val="0"/>
          <w:i w:val="0"/>
          <w:strike w:val="0"/>
          <w:noProof w:val="0"/>
          <w:color w:val="000000"/>
          <w:position w:val="0"/>
          <w:sz w:val="20"/>
          <w:u w:val="none"/>
          <w:vertAlign w:val="baseline"/>
        </w:rPr>
        <w:t xml:space="preserve"> (June 26, 2015) (SR-NASDAQ-2015-055) (order approving NLS Plus), wherein the Exchange notes that NLS Plus is a data product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create and sell on his own without being in a disadvantaged position relative to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deletion of the Distributor credit so that the Distributor fee for Nasdaq Basic will be uniformly applied to all Distributors, regardless of any user fees, will help to protect a free and open market by continuing to provide additional non-core data (offered on an optional basis for a fee) to the marketplace and by providing investors with greater choices. n24 Additionally, the proposal would not permit unfair discrimination because Basic will be available to all Distributors as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(finding the existence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non-core market data).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decision of the United States Court of Appeals for the District of Columbia Circuit in </w:t>
      </w:r>
      <w:hyperlink r:id="rId23"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(upholding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proposed fee structure is designed to ensure a fair and reasonable use of Exchange resources by allowing the Exchange to recoup costs while continuing to offer its data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This rule proposal does not burden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continues to offer alternative data products and, like the Exchange, set fees, but rather reflects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data feed vendors and will further enhance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Nasdaq Basic, like NLS and NLS Plus,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existing similar products and potential products of market data vendors. Nasdaq Basic, like NLS and NLS Plus, are part of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Nasdaq Basic,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if the software can be downloaded over the internet after being purchased). n25 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Nasdaq would be unable to defray its platform costs of providing the joint products. Similarly, data products cannot make use of TRF trade reports without the raw material of the trade reports themselves, and therefore necessitate the costs of operating, regulating, n26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and credits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val="0"/>
          <w:strike w:val="0"/>
          <w:noProof w:val="0"/>
          <w:color w:val="000000"/>
          <w:position w:val="0"/>
          <w:sz w:val="20"/>
          <w:u w:val="none"/>
          <w:vertAlign w:val="baseline"/>
        </w:rPr>
        <w:t> [*55517]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Moreover,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structure is designed to ensure a fair and reasonable use of Exchange resources by allowing the Exchange to recoup costs and ease administrative burden while continuing to offer its data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firms.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change has become effective pursuant to Section 19(b)(3)(A)(ii) of the Act.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SR-NASDAQ-2016-109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SR-NASDAQ-2016-109. This file number should be included on the subject line if email is used. To help the Commission process and review your comments more efficiently, please use only one method. The Commission will post all comments on the Commission's Internet Web site (</w:t>
      </w:r>
      <w:hyperlink r:id="rId2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SR-NASDAQ-2016-109, and should be submitted on or before September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2016-19799 Filed 8-18-16;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55513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ST3-7660-006W-855B-00000-00&amp;context=" TargetMode="External" /><Relationship Id="rId11" Type="http://schemas.openxmlformats.org/officeDocument/2006/relationships/hyperlink" Target="https://advance.lexis.com/api/document?collection=administrative-codes&amp;id=urn:contentItem:5BC0-G1V0-006W-844C-00000-00&amp;context=" TargetMode="External" /><Relationship Id="rId12" Type="http://schemas.openxmlformats.org/officeDocument/2006/relationships/hyperlink" Target="https://advance.lexis.com/api/document?collection=administrative-codes&amp;id=urn:contentItem:4VX5-XGM0-006W-83N0-00000-00&amp;context=" TargetMode="External" /><Relationship Id="rId13" Type="http://schemas.openxmlformats.org/officeDocument/2006/relationships/hyperlink" Target="https://advance.lexis.com/api/document?collection=administrative-codes&amp;id=urn:contentItem:5420-94W0-006W-82JB-00000-00&amp;context=" TargetMode="External" /><Relationship Id="rId14" Type="http://schemas.openxmlformats.org/officeDocument/2006/relationships/hyperlink" Target="https://advance.lexis.com/api/document?collection=administrative-codes&amp;id=urn:contentItem:5CR5-24H0-006W-82WN-00000-00&amp;context=" TargetMode="External" /><Relationship Id="rId15" Type="http://schemas.openxmlformats.org/officeDocument/2006/relationships/hyperlink" Target="https://advance.lexis.com/api/document?collection=statutes-legislation&amp;id=urn:contentItem:4YF7-GPC1-NRF4-4309-00000-00&amp;context=" TargetMode="External" /><Relationship Id="rId16" Type="http://schemas.openxmlformats.org/officeDocument/2006/relationships/hyperlink" Target="https://advance.lexis.com/api/document?collection=administrative-codes&amp;id=urn:contentItem:4WCC-RV90-006W-80P9-00000-00&amp;context=" TargetMode="External" /><Relationship Id="rId17" Type="http://schemas.openxmlformats.org/officeDocument/2006/relationships/hyperlink" Target="https://advance.lexis.com/api/document?collection=administrative-codes&amp;id=urn:contentItem:53GD-DG30-006W-8499-00000-00&amp;context=" TargetMode="External" /><Relationship Id="rId18" Type="http://schemas.openxmlformats.org/officeDocument/2006/relationships/hyperlink" Target="https://advance.lexis.com/api/document?collection=administrative-codes&amp;id=urn:contentItem:5420-94W0-006W-82J7-00000-00&amp;context=" TargetMode="External" /><Relationship Id="rId19" Type="http://schemas.openxmlformats.org/officeDocument/2006/relationships/hyperlink" Target="https://advance.lexis.com/api/document?collection=administrative-codes&amp;id=urn:contentItem:5GN0-NH40-006W-82V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GH9-4PB0-014W-D1VJ-00000-00&amp;context=" TargetMode="External" /><Relationship Id="rId21" Type="http://schemas.openxmlformats.org/officeDocument/2006/relationships/hyperlink" Target="https://advance.lexis.com/api/document?collection=administrative-codes&amp;id=urn:contentItem:5G9F-0SM0-006W-8372-00000-00&amp;context=" TargetMode="External" /><Relationship Id="rId22" Type="http://schemas.openxmlformats.org/officeDocument/2006/relationships/hyperlink" Target="https://advance.lexis.com/api/document?collection=administrative-materials&amp;id=urn:contentItem:5K44-XNM0-000Y-43WY-00000-00&amp;context=" TargetMode="External" /><Relationship Id="rId23" Type="http://schemas.openxmlformats.org/officeDocument/2006/relationships/hyperlink" Target="https://advance.lexis.com/api/document?collection=cases&amp;id=urn:contentItem:803V-DT30-YB0V-T01B-00000-00&amp;context=" TargetMode="External" /><Relationship Id="rId24" Type="http://schemas.openxmlformats.org/officeDocument/2006/relationships/hyperlink" Target="http://www.sec.gov/rules/sro.shtml" TargetMode="External" /><Relationship Id="rId25" Type="http://schemas.openxmlformats.org/officeDocument/2006/relationships/hyperlink" Target="mailto:rule-comments@sec.gov" TargetMode="External" /><Relationship Id="rId26" Type="http://schemas.openxmlformats.org/officeDocument/2006/relationships/hyperlink" Target="https://advance.lexis.com/api/document?collection=administrative-codes&amp;id=urn:contentItem:5SPP-2120-008G-Y2ND-00000-00&amp;context="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H2-9MH0-006W-820C-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55513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71343044</vt:lpwstr>
  </property>
  <property fmtid="{D5CDD505-2E9C-101B-9397-08002B2CF9AE}" pid="3" name="LADocCount">
    <vt:lpwstr>1</vt:lpwstr>
  </property>
  <property fmtid="{D5CDD505-2E9C-101B-9397-08002B2CF9AE}" pid="4" name="UserPermID">
    <vt:lpwstr>urn:user:PA185916758</vt:lpwstr>
  </property>
</Properties>
</file>